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drawings/drawing2.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8.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9.xml" ContentType="application/vnd.openxmlformats-officedocument.themeOverride+xml"/>
  <Override PartName="/word/charts/chart40.xml" ContentType="application/vnd.openxmlformats-officedocument.drawingml.chart+xml"/>
  <Override PartName="/word/theme/themeOverride10.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11.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12.xml" ContentType="application/vnd.openxmlformats-officedocument.themeOverride+xml"/>
  <Override PartName="/word/charts/chart53.xml" ContentType="application/vnd.openxmlformats-officedocument.drawingml.chart+xml"/>
  <Override PartName="/word/theme/themeOverride13.xml" ContentType="application/vnd.openxmlformats-officedocument.themeOverride+xml"/>
  <Override PartName="/word/charts/chart54.xml" ContentType="application/vnd.openxmlformats-officedocument.drawingml.chart+xml"/>
  <Override PartName="/word/theme/themeOverride14.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610" w:rsidRDefault="00341639" w:rsidP="006A1610">
      <w:pPr>
        <w:ind w:left="900"/>
        <w:jc w:val="center"/>
        <w:rPr>
          <w:rFonts w:ascii="Tahoma" w:hAnsi="Tahoma" w:cs="Tahoma"/>
          <w:b/>
          <w:bCs/>
          <w:sz w:val="40"/>
          <w:szCs w:val="40"/>
        </w:rPr>
      </w:pPr>
      <w:bookmarkStart w:id="0" w:name="_GoBack"/>
      <w:bookmarkEnd w:id="0"/>
      <w:r>
        <w:rPr>
          <w:noProof/>
        </w:rPr>
        <w:drawing>
          <wp:anchor distT="0" distB="0" distL="114300" distR="114300" simplePos="0" relativeHeight="251669504" behindDoc="1" locked="0" layoutInCell="1" allowOverlap="1" wp14:anchorId="1C8EA676" wp14:editId="2794C207">
            <wp:simplePos x="0" y="0"/>
            <wp:positionH relativeFrom="column">
              <wp:posOffset>3810</wp:posOffset>
            </wp:positionH>
            <wp:positionV relativeFrom="paragraph">
              <wp:posOffset>-396875</wp:posOffset>
            </wp:positionV>
            <wp:extent cx="9163050" cy="6872739"/>
            <wp:effectExtent l="0" t="0" r="0" b="4445"/>
            <wp:wrapNone/>
            <wp:docPr id="3" name="Image 3" descr="L:\Espace Collaboratif\DER\Enquêtes permanentes\Enquêtes Logistiques\P104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pace Collaboratif\DER\Enquêtes permanentes\Enquêtes Logistiques\P1040865.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9170477" cy="687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610" w:rsidRDefault="006009F8" w:rsidP="006009F8">
      <w:pPr>
        <w:tabs>
          <w:tab w:val="left" w:pos="12585"/>
        </w:tabs>
        <w:ind w:left="900"/>
        <w:rPr>
          <w:rFonts w:ascii="Tahoma" w:hAnsi="Tahoma" w:cs="Tahoma"/>
          <w:b/>
          <w:bCs/>
          <w:sz w:val="40"/>
          <w:szCs w:val="40"/>
        </w:rPr>
      </w:pPr>
      <w:r>
        <w:rPr>
          <w:rFonts w:ascii="Tahoma" w:hAnsi="Tahoma" w:cs="Tahoma"/>
          <w:b/>
          <w:bCs/>
          <w:sz w:val="40"/>
          <w:szCs w:val="40"/>
        </w:rPr>
        <w:tab/>
      </w:r>
    </w:p>
    <w:p w:rsidR="006A1610" w:rsidRDefault="008A4E69" w:rsidP="008A4E69">
      <w:pPr>
        <w:tabs>
          <w:tab w:val="left" w:pos="10065"/>
        </w:tabs>
        <w:ind w:left="900"/>
        <w:rPr>
          <w:rFonts w:ascii="Tahoma" w:hAnsi="Tahoma" w:cs="Tahoma"/>
          <w:b/>
          <w:bCs/>
          <w:sz w:val="40"/>
          <w:szCs w:val="40"/>
        </w:rPr>
      </w:pPr>
      <w:r>
        <w:rPr>
          <w:rFonts w:ascii="Tahoma" w:hAnsi="Tahoma" w:cs="Tahoma"/>
          <w:b/>
          <w:bCs/>
          <w:sz w:val="40"/>
          <w:szCs w:val="40"/>
        </w:rPr>
        <w:tab/>
      </w:r>
    </w:p>
    <w:p w:rsidR="006A1610" w:rsidRDefault="006A1610" w:rsidP="006A1610">
      <w:pPr>
        <w:ind w:left="900"/>
        <w:jc w:val="center"/>
        <w:rPr>
          <w:rFonts w:ascii="Tahoma" w:hAnsi="Tahoma" w:cs="Tahoma"/>
          <w:b/>
          <w:bCs/>
          <w:sz w:val="40"/>
          <w:szCs w:val="40"/>
        </w:rPr>
      </w:pPr>
    </w:p>
    <w:p w:rsidR="006A1610" w:rsidRPr="00341639" w:rsidRDefault="007C78E8" w:rsidP="00341639">
      <w:pPr>
        <w:jc w:val="center"/>
        <w:rPr>
          <w:rFonts w:ascii="Calibri" w:hAnsi="Calibri" w:cs="Calibri"/>
          <w:b/>
          <w:bCs/>
          <w:color w:val="FFFFFF"/>
          <w:sz w:val="48"/>
          <w:szCs w:val="40"/>
        </w:rPr>
      </w:pPr>
      <w:r>
        <w:rPr>
          <w:rFonts w:ascii="Tahoma" w:hAnsi="Tahoma" w:cs="Tahoma"/>
          <w:b/>
          <w:bCs/>
          <w:sz w:val="48"/>
          <w:szCs w:val="40"/>
        </w:rPr>
        <w:t>2</w:t>
      </w:r>
      <w:r w:rsidR="00495C95">
        <w:rPr>
          <w:rFonts w:ascii="Tahoma" w:hAnsi="Tahoma" w:cs="Tahoma"/>
          <w:b/>
          <w:bCs/>
          <w:sz w:val="48"/>
          <w:szCs w:val="40"/>
        </w:rPr>
        <w:t>1</w:t>
      </w:r>
      <w:r w:rsidR="006A1610" w:rsidRPr="00341639">
        <w:rPr>
          <w:rFonts w:ascii="Tahoma" w:hAnsi="Tahoma" w:cs="Tahoma"/>
          <w:b/>
          <w:bCs/>
          <w:sz w:val="48"/>
          <w:szCs w:val="40"/>
          <w:vertAlign w:val="superscript"/>
        </w:rPr>
        <w:t>ème</w:t>
      </w:r>
      <w:r w:rsidR="006A1610" w:rsidRPr="00341639">
        <w:rPr>
          <w:rFonts w:ascii="Tahoma" w:hAnsi="Tahoma" w:cs="Tahoma"/>
          <w:b/>
          <w:bCs/>
          <w:sz w:val="48"/>
          <w:szCs w:val="40"/>
        </w:rPr>
        <w:t xml:space="preserve"> Enquête sur les besoins </w:t>
      </w:r>
    </w:p>
    <w:p w:rsidR="006A1610" w:rsidRPr="00341639" w:rsidRDefault="006A1610" w:rsidP="00341639">
      <w:pPr>
        <w:jc w:val="center"/>
        <w:rPr>
          <w:rFonts w:ascii="Tahoma" w:hAnsi="Tahoma" w:cs="Tahoma"/>
          <w:b/>
          <w:bCs/>
          <w:sz w:val="48"/>
          <w:szCs w:val="40"/>
        </w:rPr>
      </w:pPr>
      <w:r w:rsidRPr="00341639">
        <w:rPr>
          <w:rFonts w:ascii="Tahoma" w:hAnsi="Tahoma" w:cs="Tahoma"/>
          <w:b/>
          <w:bCs/>
          <w:sz w:val="48"/>
          <w:szCs w:val="40"/>
        </w:rPr>
        <w:t xml:space="preserve">en emplois et en formations </w:t>
      </w:r>
    </w:p>
    <w:p w:rsidR="006A1610" w:rsidRPr="00341639" w:rsidRDefault="006A1610" w:rsidP="00341639">
      <w:pPr>
        <w:jc w:val="center"/>
        <w:rPr>
          <w:rFonts w:ascii="Tahoma" w:hAnsi="Tahoma" w:cs="Tahoma"/>
          <w:b/>
          <w:bCs/>
          <w:sz w:val="48"/>
          <w:szCs w:val="40"/>
        </w:rPr>
      </w:pPr>
      <w:r w:rsidRPr="00341639">
        <w:rPr>
          <w:rFonts w:ascii="Tahoma" w:hAnsi="Tahoma" w:cs="Tahoma"/>
          <w:b/>
          <w:bCs/>
          <w:sz w:val="48"/>
          <w:szCs w:val="40"/>
        </w:rPr>
        <w:t>dans les fonctions de la</w:t>
      </w:r>
    </w:p>
    <w:p w:rsidR="006A1610" w:rsidRPr="006A1610" w:rsidRDefault="006A1610" w:rsidP="00341639">
      <w:pPr>
        <w:jc w:val="center"/>
        <w:rPr>
          <w:rFonts w:ascii="Calibri" w:hAnsi="Calibri" w:cs="Calibri"/>
          <w:b/>
          <w:bCs/>
          <w:sz w:val="40"/>
          <w:szCs w:val="40"/>
        </w:rPr>
      </w:pPr>
      <w:r w:rsidRPr="00341639">
        <w:rPr>
          <w:rFonts w:ascii="Tahoma" w:hAnsi="Tahoma" w:cs="Tahoma"/>
          <w:b/>
          <w:bCs/>
          <w:sz w:val="48"/>
          <w:szCs w:val="40"/>
        </w:rPr>
        <w:t>logistique</w:t>
      </w:r>
    </w:p>
    <w:p w:rsidR="006A1610" w:rsidRPr="006A1610" w:rsidRDefault="006A1610" w:rsidP="006A1610">
      <w:pPr>
        <w:jc w:val="center"/>
        <w:rPr>
          <w:rFonts w:ascii="Calibri" w:hAnsi="Calibri" w:cs="Calibri"/>
          <w:b/>
          <w:bCs/>
          <w:sz w:val="40"/>
          <w:szCs w:val="40"/>
        </w:rPr>
      </w:pPr>
    </w:p>
    <w:p w:rsidR="006A1610" w:rsidRPr="002436B1" w:rsidRDefault="006A1610" w:rsidP="006A1610">
      <w:pPr>
        <w:jc w:val="center"/>
        <w:rPr>
          <w:rFonts w:ascii="Calibri" w:hAnsi="Calibri" w:cs="Calibri"/>
          <w:b/>
          <w:bCs/>
          <w:color w:val="FFFFFF"/>
          <w:sz w:val="40"/>
          <w:szCs w:val="40"/>
        </w:rPr>
      </w:pPr>
    </w:p>
    <w:p w:rsidR="006A1610" w:rsidRPr="00DD0C9F" w:rsidRDefault="006A1610" w:rsidP="00341639">
      <w:pPr>
        <w:jc w:val="center"/>
        <w:rPr>
          <w:rFonts w:ascii="Arial Black" w:hAnsi="Arial Black"/>
          <w:color w:val="632423" w:themeColor="accent2" w:themeShade="80"/>
          <w:sz w:val="28"/>
        </w:rPr>
      </w:pPr>
      <w:r w:rsidRPr="00DD0C9F">
        <w:rPr>
          <w:rFonts w:ascii="Arial Black" w:hAnsi="Arial Black" w:cs="Tahoma"/>
          <w:b/>
          <w:bCs/>
          <w:i/>
          <w:iCs/>
          <w:color w:val="632423" w:themeColor="accent2" w:themeShade="80"/>
          <w:sz w:val="28"/>
        </w:rPr>
        <w:t xml:space="preserve">Enquête réalisée du </w:t>
      </w:r>
      <w:r w:rsidR="00C65669">
        <w:rPr>
          <w:rFonts w:ascii="Arial Black" w:hAnsi="Arial Black" w:cs="Tahoma"/>
          <w:b/>
          <w:bCs/>
          <w:i/>
          <w:iCs/>
          <w:color w:val="632423" w:themeColor="accent2" w:themeShade="80"/>
          <w:sz w:val="28"/>
        </w:rPr>
        <w:t>12</w:t>
      </w:r>
      <w:r w:rsidRPr="00DD0C9F">
        <w:rPr>
          <w:rFonts w:ascii="Arial Black" w:hAnsi="Arial Black" w:cs="Tahoma"/>
          <w:b/>
          <w:bCs/>
          <w:i/>
          <w:iCs/>
          <w:color w:val="632423" w:themeColor="accent2" w:themeShade="80"/>
          <w:sz w:val="28"/>
        </w:rPr>
        <w:t xml:space="preserve"> janvier au </w:t>
      </w:r>
      <w:r w:rsidR="00C65669">
        <w:rPr>
          <w:rFonts w:ascii="Arial Black" w:hAnsi="Arial Black" w:cs="Tahoma"/>
          <w:b/>
          <w:bCs/>
          <w:i/>
          <w:iCs/>
          <w:color w:val="632423" w:themeColor="accent2" w:themeShade="80"/>
          <w:sz w:val="28"/>
        </w:rPr>
        <w:t>12</w:t>
      </w:r>
      <w:r w:rsidRPr="00DD0C9F">
        <w:rPr>
          <w:rFonts w:ascii="Arial Black" w:hAnsi="Arial Black" w:cs="Tahoma"/>
          <w:b/>
          <w:bCs/>
          <w:i/>
          <w:iCs/>
          <w:color w:val="632423" w:themeColor="accent2" w:themeShade="80"/>
          <w:sz w:val="28"/>
        </w:rPr>
        <w:t xml:space="preserve"> février 201</w:t>
      </w:r>
      <w:r w:rsidR="00495C95">
        <w:rPr>
          <w:rFonts w:ascii="Arial Black" w:hAnsi="Arial Black" w:cs="Tahoma"/>
          <w:b/>
          <w:bCs/>
          <w:i/>
          <w:iCs/>
          <w:color w:val="632423" w:themeColor="accent2" w:themeShade="80"/>
          <w:sz w:val="28"/>
        </w:rPr>
        <w:t>5</w:t>
      </w:r>
    </w:p>
    <w:p w:rsidR="006A1610" w:rsidRDefault="006A1610" w:rsidP="00341639">
      <w:pPr>
        <w:tabs>
          <w:tab w:val="left" w:pos="8000"/>
        </w:tabs>
        <w:jc w:val="center"/>
      </w:pPr>
    </w:p>
    <w:p w:rsidR="006A1610" w:rsidRDefault="006A1610" w:rsidP="00341639">
      <w:pPr>
        <w:tabs>
          <w:tab w:val="left" w:pos="8000"/>
        </w:tabs>
        <w:jc w:val="center"/>
      </w:pPr>
    </w:p>
    <w:p w:rsidR="006A1610" w:rsidRPr="00BD4492" w:rsidRDefault="006A1610" w:rsidP="00341639">
      <w:pPr>
        <w:jc w:val="center"/>
        <w:rPr>
          <w:rFonts w:ascii="Arial Black" w:hAnsi="Arial Black"/>
          <w:b/>
        </w:rPr>
      </w:pPr>
      <w:r w:rsidRPr="00BD4492">
        <w:rPr>
          <w:rFonts w:ascii="Arial Black" w:hAnsi="Arial Black"/>
          <w:b/>
          <w:sz w:val="48"/>
        </w:rPr>
        <w:t>AFT</w:t>
      </w:r>
    </w:p>
    <w:tbl>
      <w:tblPr>
        <w:tblW w:w="22377" w:type="dxa"/>
        <w:tblCellMar>
          <w:left w:w="70" w:type="dxa"/>
          <w:right w:w="70" w:type="dxa"/>
        </w:tblCellMar>
        <w:tblLook w:val="0000" w:firstRow="0" w:lastRow="0" w:firstColumn="0" w:lastColumn="0" w:noHBand="0" w:noVBand="0"/>
      </w:tblPr>
      <w:tblGrid>
        <w:gridCol w:w="14529"/>
        <w:gridCol w:w="7848"/>
      </w:tblGrid>
      <w:tr w:rsidR="006A1610" w:rsidTr="00341639">
        <w:trPr>
          <w:trHeight w:val="1186"/>
        </w:trPr>
        <w:tc>
          <w:tcPr>
            <w:tcW w:w="14529" w:type="dxa"/>
          </w:tcPr>
          <w:p w:rsidR="006A1610" w:rsidRDefault="006A1610" w:rsidP="00341639">
            <w:pPr>
              <w:jc w:val="center"/>
              <w:rPr>
                <w:b/>
                <w:sz w:val="22"/>
                <w:szCs w:val="22"/>
              </w:rPr>
            </w:pPr>
            <w:r w:rsidRPr="00E625AD">
              <w:rPr>
                <w:b/>
                <w:sz w:val="22"/>
                <w:szCs w:val="22"/>
              </w:rPr>
              <w:br w:type="page"/>
            </w:r>
          </w:p>
          <w:p w:rsidR="006A1610" w:rsidRPr="00E101BC" w:rsidRDefault="006A1610" w:rsidP="00341639">
            <w:pPr>
              <w:jc w:val="center"/>
              <w:rPr>
                <w:rFonts w:ascii="Tahoma" w:hAnsi="Tahoma" w:cs="Tahoma"/>
                <w:b/>
                <w:bCs/>
                <w:sz w:val="22"/>
                <w:szCs w:val="22"/>
              </w:rPr>
            </w:pPr>
            <w:r w:rsidRPr="00E101BC">
              <w:rPr>
                <w:rFonts w:ascii="Tahoma" w:hAnsi="Tahoma" w:cs="Tahoma"/>
                <w:b/>
                <w:bCs/>
                <w:sz w:val="22"/>
                <w:szCs w:val="22"/>
              </w:rPr>
              <w:t>Département des Etudes</w:t>
            </w:r>
          </w:p>
          <w:p w:rsidR="006A1610" w:rsidRPr="00E101BC" w:rsidRDefault="006A1610" w:rsidP="00341639">
            <w:pPr>
              <w:jc w:val="center"/>
              <w:rPr>
                <w:rFonts w:ascii="Tahoma" w:hAnsi="Tahoma" w:cs="Tahoma"/>
                <w:b/>
                <w:bCs/>
                <w:sz w:val="22"/>
                <w:szCs w:val="22"/>
              </w:rPr>
            </w:pPr>
            <w:r>
              <w:rPr>
                <w:rFonts w:ascii="Tahoma" w:hAnsi="Tahoma" w:cs="Tahoma"/>
                <w:b/>
                <w:bCs/>
                <w:sz w:val="22"/>
                <w:szCs w:val="22"/>
              </w:rPr>
              <w:t>Transport &amp; Logistique</w:t>
            </w:r>
          </w:p>
          <w:p w:rsidR="006A1610" w:rsidRPr="00E625AD" w:rsidRDefault="006A1610" w:rsidP="00341639">
            <w:pPr>
              <w:jc w:val="center"/>
              <w:rPr>
                <w:sz w:val="22"/>
                <w:szCs w:val="22"/>
              </w:rPr>
            </w:pPr>
            <w:r w:rsidRPr="00E101BC">
              <w:rPr>
                <w:rFonts w:ascii="Tahoma" w:hAnsi="Tahoma" w:cs="Tahoma"/>
                <w:b/>
                <w:bCs/>
                <w:sz w:val="22"/>
                <w:szCs w:val="22"/>
              </w:rPr>
              <w:t>Direction des Relations Institutionnelles et des Etudes</w:t>
            </w:r>
          </w:p>
        </w:tc>
        <w:tc>
          <w:tcPr>
            <w:tcW w:w="7848" w:type="dxa"/>
            <w:vAlign w:val="center"/>
          </w:tcPr>
          <w:p w:rsidR="006A1610" w:rsidRPr="00E625AD" w:rsidRDefault="006A1610" w:rsidP="00341639">
            <w:pPr>
              <w:ind w:left="1541" w:right="113" w:hanging="1541"/>
              <w:jc w:val="center"/>
              <w:rPr>
                <w:color w:val="800000"/>
                <w:sz w:val="22"/>
                <w:szCs w:val="22"/>
              </w:rPr>
            </w:pPr>
          </w:p>
        </w:tc>
      </w:tr>
    </w:tbl>
    <w:p w:rsidR="006A1610" w:rsidRPr="001F0EF7" w:rsidRDefault="006A1610" w:rsidP="00341639">
      <w:pPr>
        <w:jc w:val="center"/>
        <w:rPr>
          <w:rFonts w:ascii="Arial Black" w:hAnsi="Arial Black" w:cs="Calibri"/>
          <w:b/>
          <w:bCs/>
          <w:color w:val="984806"/>
          <w:sz w:val="22"/>
        </w:rPr>
      </w:pPr>
      <w:r w:rsidRPr="001F0EF7">
        <w:rPr>
          <w:rFonts w:ascii="Arial Black" w:hAnsi="Arial Black" w:cs="Calibri"/>
          <w:b/>
          <w:bCs/>
          <w:color w:val="984806"/>
          <w:sz w:val="22"/>
        </w:rPr>
        <w:t>Valérie CASTAY</w:t>
      </w:r>
    </w:p>
    <w:p w:rsidR="006A1610" w:rsidRPr="00D03C61" w:rsidRDefault="006A1610" w:rsidP="00341639">
      <w:pPr>
        <w:jc w:val="center"/>
        <w:rPr>
          <w:rFonts w:ascii="Arial Black" w:hAnsi="Arial Black" w:cs="Calibri"/>
          <w:b/>
          <w:bCs/>
          <w:color w:val="984806"/>
          <w:sz w:val="18"/>
          <w:szCs w:val="18"/>
        </w:rPr>
      </w:pPr>
      <w:r w:rsidRPr="00D03C61">
        <w:rPr>
          <w:rFonts w:ascii="Arial Black" w:hAnsi="Arial Black" w:cs="Calibri"/>
          <w:b/>
          <w:bCs/>
          <w:color w:val="984806"/>
          <w:sz w:val="18"/>
          <w:szCs w:val="18"/>
        </w:rPr>
        <w:t>Chef de projets Etudes</w:t>
      </w:r>
    </w:p>
    <w:p w:rsidR="006A1610" w:rsidRPr="001F0EF7" w:rsidRDefault="006A1610" w:rsidP="00341639">
      <w:pPr>
        <w:tabs>
          <w:tab w:val="left" w:pos="5414"/>
          <w:tab w:val="left" w:pos="8415"/>
        </w:tabs>
        <w:jc w:val="center"/>
        <w:rPr>
          <w:rFonts w:ascii="Arial Black" w:hAnsi="Arial Black" w:cs="Calibri"/>
          <w:b/>
          <w:bCs/>
          <w:color w:val="984806"/>
          <w:sz w:val="16"/>
        </w:rPr>
      </w:pPr>
    </w:p>
    <w:p w:rsidR="006A1610" w:rsidRPr="001F0EF7" w:rsidRDefault="006A1610" w:rsidP="00341639">
      <w:pPr>
        <w:jc w:val="center"/>
        <w:rPr>
          <w:rFonts w:ascii="Arial Black" w:hAnsi="Arial Black" w:cs="Calibri"/>
          <w:b/>
          <w:bCs/>
          <w:color w:val="984806"/>
          <w:sz w:val="22"/>
        </w:rPr>
      </w:pPr>
      <w:r w:rsidRPr="001F0EF7">
        <w:rPr>
          <w:rFonts w:ascii="Arial Black" w:hAnsi="Arial Black" w:cs="Calibri"/>
          <w:b/>
          <w:bCs/>
          <w:color w:val="984806"/>
          <w:sz w:val="22"/>
        </w:rPr>
        <w:t>Jean André LASSERRE</w:t>
      </w:r>
    </w:p>
    <w:p w:rsidR="006A1610" w:rsidRPr="001F0EF7" w:rsidRDefault="006A1610" w:rsidP="00341639">
      <w:pPr>
        <w:jc w:val="center"/>
        <w:rPr>
          <w:rFonts w:ascii="Arial Black" w:hAnsi="Arial Black" w:cs="Calibri"/>
          <w:b/>
          <w:bCs/>
          <w:color w:val="984806"/>
          <w:sz w:val="18"/>
        </w:rPr>
      </w:pPr>
      <w:r w:rsidRPr="001F0EF7">
        <w:rPr>
          <w:rFonts w:ascii="Arial Black" w:hAnsi="Arial Black" w:cs="Calibri"/>
          <w:b/>
          <w:bCs/>
          <w:color w:val="984806"/>
          <w:sz w:val="18"/>
        </w:rPr>
        <w:t>Directeur des Relations Institutionnelles et des Etudes</w:t>
      </w:r>
    </w:p>
    <w:p w:rsidR="006A1610" w:rsidRPr="001F0EF7" w:rsidRDefault="006A1610" w:rsidP="00341639">
      <w:pPr>
        <w:ind w:left="900"/>
        <w:jc w:val="center"/>
        <w:rPr>
          <w:rFonts w:ascii="Arial Black" w:hAnsi="Arial Black" w:cs="Calibri"/>
          <w:b/>
          <w:bCs/>
          <w:color w:val="984806"/>
          <w:sz w:val="18"/>
        </w:rPr>
      </w:pPr>
      <w:r>
        <w:rPr>
          <w:rFonts w:ascii="Calibri" w:hAnsi="Calibri" w:cs="Calibri"/>
          <w:b/>
          <w:bCs/>
          <w:color w:val="FFFFFF"/>
          <w:sz w:val="40"/>
          <w:szCs w:val="40"/>
        </w:rPr>
        <w:br w:type="page"/>
      </w:r>
    </w:p>
    <w:p w:rsidR="00F15CDC" w:rsidRPr="002436B1" w:rsidRDefault="00F15CDC">
      <w:pPr>
        <w:jc w:val="center"/>
        <w:rPr>
          <w:rFonts w:ascii="Calibri" w:hAnsi="Calibri" w:cs="Calibri"/>
          <w:b/>
          <w:bCs/>
          <w:color w:val="800000"/>
          <w:sz w:val="36"/>
        </w:rPr>
      </w:pPr>
    </w:p>
    <w:p w:rsidR="00F15CDC" w:rsidRPr="002436B1" w:rsidRDefault="00F15CDC">
      <w:pPr>
        <w:jc w:val="center"/>
        <w:rPr>
          <w:rFonts w:ascii="Calibri" w:hAnsi="Calibri" w:cs="Calibri"/>
          <w:b/>
          <w:bCs/>
          <w:color w:val="800000"/>
          <w:sz w:val="36"/>
        </w:rPr>
      </w:pPr>
    </w:p>
    <w:p w:rsidR="00F15CDC" w:rsidRPr="002436B1" w:rsidRDefault="00F15CDC">
      <w:pPr>
        <w:jc w:val="center"/>
        <w:rPr>
          <w:rFonts w:ascii="Calibri" w:hAnsi="Calibri" w:cs="Calibri"/>
          <w:b/>
          <w:bCs/>
          <w:color w:val="800000"/>
          <w:sz w:val="36"/>
        </w:rPr>
      </w:pPr>
    </w:p>
    <w:p w:rsidR="00442B2A" w:rsidRDefault="00442B2A">
      <w:pPr>
        <w:rPr>
          <w:rFonts w:ascii="Arial Black" w:hAnsi="Arial Black" w:cs="Calibri"/>
          <w:b/>
          <w:bCs/>
          <w:color w:val="632423" w:themeColor="accent2" w:themeShade="8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Black" w:hAnsi="Arial Black" w:cs="Calibri"/>
          <w:b/>
          <w:bCs/>
          <w:color w:val="632423" w:themeColor="accent2" w:themeShade="8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6849A3" w:rsidRDefault="006849A3" w:rsidP="00C95F40">
      <w:pPr>
        <w:jc w:val="center"/>
        <w:rPr>
          <w:rFonts w:ascii="Calibri" w:hAnsi="Calibri" w:cs="Calibri"/>
        </w:rPr>
      </w:pPr>
      <w:bookmarkStart w:id="1" w:name="_Toc223328376"/>
    </w:p>
    <w:p w:rsidR="006849A3" w:rsidRDefault="006849A3" w:rsidP="00C95F40">
      <w:pPr>
        <w:jc w:val="center"/>
        <w:rPr>
          <w:rFonts w:ascii="Calibri" w:hAnsi="Calibri" w:cs="Calibri"/>
        </w:rPr>
      </w:pPr>
    </w:p>
    <w:p w:rsidR="00F15CDC" w:rsidRPr="0011478C" w:rsidRDefault="00F15CDC" w:rsidP="00C95F40">
      <w:pPr>
        <w:jc w:val="center"/>
        <w:rPr>
          <w:rFonts w:ascii="Arial Black" w:hAnsi="Arial Black" w:cs="Calibri"/>
          <w:b/>
          <w:bCs/>
          <w:color w:val="632423" w:themeColor="accent2" w:themeShade="8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1478C">
        <w:rPr>
          <w:rFonts w:ascii="Arial Black" w:hAnsi="Arial Black" w:cs="Calibri"/>
          <w:b/>
          <w:bCs/>
          <w:color w:val="632423" w:themeColor="accent2" w:themeShade="8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SOMMAIRE</w:t>
      </w:r>
      <w:bookmarkEnd w:id="1"/>
    </w:p>
    <w:p w:rsidR="00F26519" w:rsidRPr="002436B1" w:rsidRDefault="00F26519">
      <w:pPr>
        <w:jc w:val="center"/>
        <w:rPr>
          <w:rFonts w:ascii="Calibri" w:hAnsi="Calibri" w:cs="Calibri"/>
          <w:b/>
          <w:bCs/>
          <w:color w:val="800000"/>
          <w:sz w:val="36"/>
          <w:szCs w:val="36"/>
        </w:rPr>
      </w:pPr>
    </w:p>
    <w:p w:rsidR="00186C98" w:rsidRPr="0011478C" w:rsidRDefault="00186C98" w:rsidP="00C95F40">
      <w:pPr>
        <w:tabs>
          <w:tab w:val="right" w:leader="dot" w:pos="14601"/>
        </w:tabs>
        <w:jc w:val="both"/>
        <w:rPr>
          <w:rFonts w:ascii="Calibri" w:hAnsi="Calibri" w:cs="Calibri"/>
          <w:b/>
          <w:bCs/>
          <w:sz w:val="28"/>
          <w:szCs w:val="28"/>
        </w:rPr>
      </w:pPr>
    </w:p>
    <w:p w:rsidR="00941D73" w:rsidRPr="0011478C" w:rsidRDefault="00941D73" w:rsidP="00C95F40">
      <w:pPr>
        <w:tabs>
          <w:tab w:val="right" w:leader="dot" w:pos="14601"/>
        </w:tabs>
        <w:jc w:val="both"/>
        <w:rPr>
          <w:rFonts w:ascii="Calibri" w:hAnsi="Calibri" w:cs="Calibri"/>
          <w:b/>
          <w:bCs/>
          <w:sz w:val="28"/>
          <w:szCs w:val="28"/>
        </w:rPr>
      </w:pPr>
    </w:p>
    <w:p w:rsidR="00941D73" w:rsidRPr="00B4043B" w:rsidRDefault="00E744B7" w:rsidP="000B1FE8">
      <w:pPr>
        <w:tabs>
          <w:tab w:val="left" w:pos="540"/>
          <w:tab w:val="right" w:leader="dot" w:pos="14601"/>
        </w:tabs>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Introduction</w:t>
      </w:r>
      <w:r w:rsidR="00941D73"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 xml:space="preserve">  </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p w:rsidR="00E744B7" w:rsidRDefault="00E744B7"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64846" w:rsidRPr="00E744B7" w:rsidRDefault="00B64846" w:rsidP="00C95F40">
      <w:pPr>
        <w:numPr>
          <w:ilvl w:val="0"/>
          <w:numId w:val="9"/>
        </w:numPr>
        <w:tabs>
          <w:tab w:val="clear" w:pos="1080"/>
          <w:tab w:val="left" w:pos="540"/>
          <w:tab w:val="right" w:leader="dot" w:pos="14601"/>
        </w:tabs>
        <w:ind w:left="540" w:hanging="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Conjoncture</w:t>
      </w:r>
      <w:r w:rsidR="00706370"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AE30F4"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CD2048"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p w:rsid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B4A2F" w:rsidRPr="00E744B7" w:rsidRDefault="002B4A2F" w:rsidP="00C95F40">
      <w:pPr>
        <w:numPr>
          <w:ilvl w:val="0"/>
          <w:numId w:val="9"/>
        </w:numPr>
        <w:tabs>
          <w:tab w:val="clear" w:pos="1080"/>
          <w:tab w:val="left" w:pos="540"/>
          <w:tab w:val="right" w:leader="dot" w:pos="14601"/>
        </w:tabs>
        <w:ind w:left="540" w:hanging="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Stratégies et organisation</w:t>
      </w:r>
      <w:r w:rsidR="00706370"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AE30F4"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p w:rsidR="007E42EB" w:rsidRDefault="007E42E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 Facteurs d’évolution</w:t>
      </w: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 Organisation logistique</w:t>
      </w: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2.3 Sous-traitance</w:t>
      </w:r>
    </w:p>
    <w:p w:rsid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B4A2F" w:rsidRPr="00E744B7" w:rsidRDefault="002B4A2F" w:rsidP="00C95F40">
      <w:pPr>
        <w:numPr>
          <w:ilvl w:val="0"/>
          <w:numId w:val="9"/>
        </w:numPr>
        <w:tabs>
          <w:tab w:val="clear" w:pos="1080"/>
          <w:tab w:val="left" w:pos="540"/>
          <w:tab w:val="right" w:leader="dot" w:pos="14601"/>
        </w:tabs>
        <w:ind w:left="540" w:hanging="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Gestion des emplois et de recrutements</w:t>
      </w:r>
      <w:r w:rsidR="00706370"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AE30F4"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CD2048"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w:t>
      </w:r>
    </w:p>
    <w:p w:rsidR="007E42EB" w:rsidRDefault="007E42E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3.1 Gestion du niveau des effectifs</w:t>
      </w: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3.2 Gestion des recrutements</w:t>
      </w: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3.3 Mobilité interne et gestion des parcours professionnels</w:t>
      </w: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3.4 Intérim</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groupements d’employeurs et portage salarial</w:t>
      </w:r>
    </w:p>
    <w:p w:rsidR="00B4043B" w:rsidRP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4043B">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3.5 </w:t>
      </w:r>
      <w:r w:rsidR="00EF4743">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Prévention des risques professionnels</w:t>
      </w:r>
    </w:p>
    <w:p w:rsidR="00B4043B" w:rsidRDefault="00B4043B" w:rsidP="00B4043B">
      <w:pPr>
        <w:tabs>
          <w:tab w:val="left" w:pos="540"/>
          <w:tab w:val="right" w:leader="dot" w:pos="14601"/>
        </w:tabs>
        <w:ind w:left="36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B4A2F" w:rsidRPr="00E744B7" w:rsidRDefault="002B4A2F" w:rsidP="00C95F40">
      <w:pPr>
        <w:numPr>
          <w:ilvl w:val="0"/>
          <w:numId w:val="9"/>
        </w:numPr>
        <w:tabs>
          <w:tab w:val="clear" w:pos="1080"/>
          <w:tab w:val="left" w:pos="540"/>
          <w:tab w:val="right" w:leader="dot" w:pos="14601"/>
        </w:tabs>
        <w:ind w:left="540" w:hanging="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Politiques de qualification</w:t>
      </w:r>
      <w:r w:rsidR="00706370"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AE30F4"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CD2048"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46</w:t>
      </w:r>
    </w:p>
    <w:p w:rsidR="00B4043B" w:rsidRDefault="00B4043B" w:rsidP="00B4043B">
      <w:pPr>
        <w:tabs>
          <w:tab w:val="left" w:pos="540"/>
          <w:tab w:val="right" w:leader="dot" w:pos="14601"/>
        </w:tabs>
        <w:ind w:left="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B4A2F" w:rsidRPr="00E744B7" w:rsidRDefault="002B4A2F" w:rsidP="00C95F40">
      <w:pPr>
        <w:numPr>
          <w:ilvl w:val="0"/>
          <w:numId w:val="9"/>
        </w:numPr>
        <w:tabs>
          <w:tab w:val="clear" w:pos="1080"/>
          <w:tab w:val="left" w:pos="540"/>
          <w:tab w:val="right" w:leader="dot" w:pos="14601"/>
        </w:tabs>
        <w:ind w:left="540" w:hanging="540"/>
        <w:jc w:val="both"/>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Politiques de formation continue</w:t>
      </w:r>
      <w:r w:rsidR="00706370"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CD2048"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C717CE" w:rsidRPr="00E744B7">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0B1FE8">
        <w:rPr>
          <w:rFonts w:ascii="Calibri" w:hAnsi="Calibri" w:cs="Calibri"/>
          <w:b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53</w:t>
      </w:r>
    </w:p>
    <w:p w:rsidR="00B64846" w:rsidRDefault="00B64846" w:rsidP="00B64846">
      <w:pPr>
        <w:jc w:val="both"/>
        <w:rPr>
          <w:rFonts w:ascii="Calibri" w:hAnsi="Calibri" w:cs="Calibri"/>
          <w:b/>
          <w:bCs/>
          <w:sz w:val="28"/>
          <w:szCs w:val="28"/>
        </w:rPr>
      </w:pPr>
    </w:p>
    <w:p w:rsidR="00E744B7" w:rsidRDefault="00E744B7" w:rsidP="00B64846">
      <w:pPr>
        <w:jc w:val="both"/>
        <w:rPr>
          <w:rFonts w:ascii="Calibri" w:hAnsi="Calibri" w:cs="Calibri"/>
          <w:b/>
          <w:bCs/>
          <w:sz w:val="28"/>
          <w:szCs w:val="28"/>
        </w:rPr>
      </w:pPr>
    </w:p>
    <w:p w:rsidR="00442B2A" w:rsidRDefault="00442B2A" w:rsidP="002B1371">
      <w:pPr>
        <w:rPr>
          <w:rFonts w:ascii="Arial Black" w:hAnsi="Arial Black" w:cs="Calibri"/>
        </w:rPr>
        <w:sectPr w:rsidR="00442B2A" w:rsidSect="00A56B21">
          <w:footerReference w:type="default" r:id="rId10"/>
          <w:pgSz w:w="16838" w:h="11906" w:orient="landscape"/>
          <w:pgMar w:top="851" w:right="851" w:bottom="851" w:left="1134" w:header="709" w:footer="709" w:gutter="0"/>
          <w:pgNumType w:start="1"/>
          <w:cols w:space="708"/>
          <w:docGrid w:linePitch="360"/>
        </w:sectPr>
      </w:pPr>
    </w:p>
    <w:p w:rsidR="002B1371" w:rsidRPr="002436B1" w:rsidRDefault="002B1371" w:rsidP="002B1371">
      <w:pPr>
        <w:rPr>
          <w:rFonts w:ascii="Arial Black" w:hAnsi="Arial Black" w:cs="Calibri"/>
        </w:rPr>
      </w:pPr>
    </w:p>
    <w:p w:rsidR="002B1371" w:rsidRPr="0011478C" w:rsidRDefault="002B1371" w:rsidP="002B1371">
      <w:pPr>
        <w:pStyle w:val="Titre1"/>
        <w:jc w:val="center"/>
        <w:rPr>
          <w:rFonts w:ascii="Arial Black" w:hAnsi="Arial Black" w:cs="Calibri"/>
          <w:b w:val="0"/>
          <w:bCs w:val="0"/>
          <w:color w:val="984806" w:themeColor="accent6" w:themeShade="80"/>
          <w:sz w:val="36"/>
          <w:szCs w:val="36"/>
        </w:rPr>
      </w:pPr>
      <w:r w:rsidRPr="0011478C">
        <w:rPr>
          <w:rFonts w:ascii="Arial Black" w:hAnsi="Arial Black" w:cs="Calibri"/>
          <w:b w:val="0"/>
          <w:bCs w:val="0"/>
          <w:color w:val="984806" w:themeColor="accent6" w:themeShade="80"/>
          <w:sz w:val="36"/>
          <w:szCs w:val="36"/>
        </w:rPr>
        <w:t>INTRODUCTION</w:t>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186C98" w:rsidRDefault="002B1371" w:rsidP="002B1371">
      <w:pPr>
        <w:rPr>
          <w:rFonts w:ascii="Arial Black" w:hAnsi="Arial Black" w:cs="Calibri"/>
          <w:b/>
          <w:bCs/>
          <w:color w:val="632423"/>
        </w:rPr>
      </w:pPr>
      <w:r w:rsidRPr="00186C98">
        <w:rPr>
          <w:rFonts w:ascii="Arial Black" w:hAnsi="Arial Black" w:cs="Calibri"/>
          <w:b/>
          <w:bCs/>
          <w:color w:val="632423"/>
        </w:rPr>
        <w:t>Méthodologie</w:t>
      </w:r>
    </w:p>
    <w:p w:rsidR="002B1371" w:rsidRPr="002436B1" w:rsidRDefault="002B1371" w:rsidP="002B1371">
      <w:pPr>
        <w:rPr>
          <w:rFonts w:ascii="Calibri" w:hAnsi="Calibri" w:cs="Calibri"/>
          <w:b/>
          <w:bCs/>
          <w:color w:val="800000"/>
          <w:sz w:val="32"/>
          <w:szCs w:val="32"/>
        </w:rPr>
      </w:pPr>
    </w:p>
    <w:p w:rsidR="00C65669" w:rsidRDefault="002B1371" w:rsidP="002B1371">
      <w:pPr>
        <w:pStyle w:val="Corpsdetexte"/>
        <w:rPr>
          <w:rFonts w:ascii="Calibri" w:hAnsi="Calibri" w:cs="Miriam"/>
        </w:rPr>
      </w:pPr>
      <w:r w:rsidRPr="009F361D">
        <w:rPr>
          <w:rFonts w:ascii="Calibri" w:hAnsi="Calibri" w:cs="Miriam"/>
        </w:rPr>
        <w:t xml:space="preserve">L’enquête sur les besoins en emplois et en formations dans les fonctions logistiques, réalisée par le Département des Etudes Transport &amp; Logistique, rattaché à la Direction des Relations Institutionnelles et des Etudes de l’AFT, a été reconduite pour la </w:t>
      </w:r>
      <w:r w:rsidR="00495C95" w:rsidRPr="00EA2467">
        <w:rPr>
          <w:rFonts w:ascii="Calibri" w:hAnsi="Calibri" w:cs="Miriam"/>
          <w:b/>
        </w:rPr>
        <w:t>vingt-et-unième</w:t>
      </w:r>
      <w:r w:rsidRPr="00EA2467">
        <w:rPr>
          <w:rFonts w:ascii="Calibri" w:hAnsi="Calibri" w:cs="Miriam"/>
          <w:b/>
        </w:rPr>
        <w:t xml:space="preserve"> année consécutive</w:t>
      </w:r>
      <w:r w:rsidRPr="009F361D">
        <w:rPr>
          <w:rFonts w:ascii="Calibri" w:hAnsi="Calibri" w:cs="Miriam"/>
        </w:rPr>
        <w:t xml:space="preserve">. Le questionnaire a porté sur les évolutions en matière de stratégie et d’organisation logistique, d’emploi, de recrutement et de formation pour l’exercice </w:t>
      </w:r>
      <w:r w:rsidRPr="00EA2467">
        <w:rPr>
          <w:rFonts w:ascii="Calibri" w:hAnsi="Calibri" w:cs="Miriam"/>
        </w:rPr>
        <w:t>201</w:t>
      </w:r>
      <w:r w:rsidR="00495C95" w:rsidRPr="00EA2467">
        <w:rPr>
          <w:rFonts w:ascii="Calibri" w:hAnsi="Calibri" w:cs="Miriam"/>
        </w:rPr>
        <w:t>4</w:t>
      </w:r>
      <w:r w:rsidRPr="009F361D">
        <w:rPr>
          <w:rFonts w:ascii="Calibri" w:hAnsi="Calibri" w:cs="Miriam"/>
        </w:rPr>
        <w:t xml:space="preserve">. </w:t>
      </w:r>
    </w:p>
    <w:p w:rsidR="00B647C8" w:rsidRDefault="00B647C8" w:rsidP="002B1371">
      <w:pPr>
        <w:pStyle w:val="Corpsdetexte"/>
        <w:rPr>
          <w:rFonts w:ascii="Calibri" w:hAnsi="Calibri" w:cs="Miriam"/>
        </w:rPr>
      </w:pPr>
    </w:p>
    <w:p w:rsidR="00C65669" w:rsidRDefault="00C65669" w:rsidP="002B1371">
      <w:pPr>
        <w:pStyle w:val="Corpsdetexte"/>
        <w:rPr>
          <w:rFonts w:ascii="Calibri" w:hAnsi="Calibri" w:cs="Miriam"/>
        </w:rPr>
      </w:pPr>
      <w:r w:rsidRPr="00B647C8">
        <w:rPr>
          <w:rFonts w:ascii="Calibri" w:hAnsi="Calibri" w:cs="Miriam"/>
        </w:rPr>
        <w:t xml:space="preserve">Du fait de la diversité des thèmes abordés au cours de l’enquête, </w:t>
      </w:r>
      <w:r w:rsidR="00EA2467" w:rsidRPr="00B647C8">
        <w:rPr>
          <w:rFonts w:ascii="Calibri" w:hAnsi="Calibri" w:cs="Miriam"/>
        </w:rPr>
        <w:t>sont généralement sollicités dans l’entreprise plusieurs interlocuteurs : responsable logistique, r</w:t>
      </w:r>
      <w:r w:rsidRPr="00B647C8">
        <w:rPr>
          <w:rFonts w:ascii="Calibri" w:hAnsi="Calibri" w:cs="Miriam"/>
        </w:rPr>
        <w:t>esponsable RH, responsable formation, responsable sécurité, gestionnaire de parc</w:t>
      </w:r>
      <w:r w:rsidR="00EA2467" w:rsidRPr="00B647C8">
        <w:rPr>
          <w:rFonts w:ascii="Calibri" w:hAnsi="Calibri" w:cs="Miriam"/>
        </w:rPr>
        <w:t>…</w:t>
      </w:r>
    </w:p>
    <w:p w:rsidR="002B1371" w:rsidRPr="009F361D" w:rsidRDefault="002B1371" w:rsidP="002B1371">
      <w:pPr>
        <w:pStyle w:val="Corpsdetexte"/>
        <w:rPr>
          <w:rFonts w:ascii="Calibri" w:hAnsi="Calibri" w:cs="Miriam"/>
        </w:rPr>
      </w:pPr>
    </w:p>
    <w:p w:rsidR="002B1371" w:rsidRPr="009F361D" w:rsidRDefault="002B1371" w:rsidP="002B1371">
      <w:pPr>
        <w:pStyle w:val="Corpsdetexte"/>
        <w:rPr>
          <w:rFonts w:ascii="Calibri" w:hAnsi="Calibri" w:cs="Miriam"/>
        </w:rPr>
      </w:pPr>
      <w:r w:rsidRPr="009F361D">
        <w:rPr>
          <w:rFonts w:ascii="Calibri" w:hAnsi="Calibri" w:cs="Miriam"/>
        </w:rPr>
        <w:t xml:space="preserve">L’enquête logistique est basée sur une population de référence </w:t>
      </w:r>
      <w:r w:rsidRPr="00EA2467">
        <w:rPr>
          <w:rFonts w:ascii="Calibri" w:hAnsi="Calibri" w:cs="Miriam"/>
        </w:rPr>
        <w:t>de</w:t>
      </w:r>
      <w:r w:rsidRPr="002D75DF">
        <w:rPr>
          <w:rFonts w:ascii="Calibri" w:hAnsi="Calibri" w:cs="Miriam"/>
        </w:rPr>
        <w:t xml:space="preserve"> 5 215 </w:t>
      </w:r>
      <w:r w:rsidRPr="009F361D">
        <w:rPr>
          <w:rFonts w:ascii="Calibri" w:hAnsi="Calibri" w:cs="Miriam"/>
        </w:rPr>
        <w:t>établissements d’au moins 100 salariés répartis sur tout l’hexagone et appartenant à sept secteurs d’activité clés retenus en raison notamment de leur poids en effectifs logistiques :</w:t>
      </w:r>
    </w:p>
    <w:p w:rsidR="002B1371" w:rsidRPr="009F361D" w:rsidRDefault="002B1371" w:rsidP="002B1371">
      <w:pPr>
        <w:pStyle w:val="Corpsdetexte"/>
        <w:rPr>
          <w:rFonts w:ascii="Calibri" w:hAnsi="Calibri" w:cs="Miriam"/>
        </w:rPr>
      </w:pP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Industries agricoles et alimentaires,</w:t>
      </w: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Pharmacie, parfumerie,</w:t>
      </w: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Industrie automobile,</w:t>
      </w: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Industrie des équipements mécaniques,</w:t>
      </w: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Chimie, caoutchouc, plastiques,</w:t>
      </w: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Commerce (essentiellement commerce de gros),</w:t>
      </w:r>
    </w:p>
    <w:p w:rsidR="002B1371" w:rsidRPr="009F361D" w:rsidRDefault="002B1371" w:rsidP="002B1371">
      <w:pPr>
        <w:pStyle w:val="Corpsdetexte"/>
        <w:numPr>
          <w:ilvl w:val="0"/>
          <w:numId w:val="2"/>
        </w:numPr>
        <w:rPr>
          <w:rFonts w:ascii="Calibri" w:hAnsi="Calibri" w:cs="Miriam"/>
        </w:rPr>
      </w:pPr>
      <w:r w:rsidRPr="009F361D">
        <w:rPr>
          <w:rFonts w:ascii="Calibri" w:hAnsi="Calibri" w:cs="Miriam"/>
        </w:rPr>
        <w:t>Prestataires transport/logistique.</w:t>
      </w:r>
    </w:p>
    <w:p w:rsidR="002B1371" w:rsidRPr="009F361D" w:rsidRDefault="002B1371" w:rsidP="002B1371">
      <w:pPr>
        <w:pStyle w:val="Corpsdetexte"/>
        <w:rPr>
          <w:rFonts w:ascii="Calibri" w:hAnsi="Calibri" w:cs="Miriam"/>
        </w:rPr>
      </w:pPr>
    </w:p>
    <w:p w:rsidR="002B1371" w:rsidRPr="009F361D" w:rsidRDefault="002B1371" w:rsidP="002B1371">
      <w:pPr>
        <w:pStyle w:val="Corpsdetexte"/>
        <w:rPr>
          <w:rFonts w:ascii="Calibri" w:hAnsi="Calibri" w:cs="Miriam"/>
        </w:rPr>
      </w:pPr>
      <w:r w:rsidRPr="00EA2467">
        <w:rPr>
          <w:rFonts w:ascii="Calibri" w:hAnsi="Calibri" w:cs="Miriam"/>
        </w:rPr>
        <w:t>L’échantillon</w:t>
      </w:r>
      <w:r w:rsidRPr="009F361D">
        <w:rPr>
          <w:rFonts w:ascii="Calibri" w:hAnsi="Calibri" w:cs="Miriam"/>
        </w:rPr>
        <w:t xml:space="preserve"> de la </w:t>
      </w:r>
      <w:r w:rsidRPr="00EA2467">
        <w:rPr>
          <w:rFonts w:ascii="Calibri" w:hAnsi="Calibri" w:cs="Miriam"/>
        </w:rPr>
        <w:t>2</w:t>
      </w:r>
      <w:r w:rsidR="00495C95" w:rsidRPr="00EA2467">
        <w:rPr>
          <w:rFonts w:ascii="Calibri" w:hAnsi="Calibri" w:cs="Miriam"/>
        </w:rPr>
        <w:t>1</w:t>
      </w:r>
      <w:r w:rsidRPr="00EA2467">
        <w:rPr>
          <w:rFonts w:ascii="Calibri" w:hAnsi="Calibri" w:cs="Miriam"/>
        </w:rPr>
        <w:t xml:space="preserve">ème </w:t>
      </w:r>
      <w:r w:rsidRPr="009F361D">
        <w:rPr>
          <w:rFonts w:ascii="Calibri" w:hAnsi="Calibri" w:cs="Miriam"/>
        </w:rPr>
        <w:t xml:space="preserve">enquête logistique, constitué à partir du fichier Démographie des établissements INSEE au </w:t>
      </w:r>
      <w:r w:rsidRPr="00EA2467">
        <w:rPr>
          <w:rFonts w:ascii="Calibri" w:hAnsi="Calibri" w:cs="Miriam"/>
        </w:rPr>
        <w:t>01/01/201</w:t>
      </w:r>
      <w:r w:rsidR="00495C95" w:rsidRPr="00EA2467">
        <w:rPr>
          <w:rFonts w:ascii="Calibri" w:hAnsi="Calibri" w:cs="Miriam"/>
        </w:rPr>
        <w:t>4</w:t>
      </w:r>
      <w:r w:rsidRPr="00EA2467">
        <w:rPr>
          <w:rFonts w:ascii="Calibri" w:hAnsi="Calibri" w:cs="Miriam"/>
        </w:rPr>
        <w:t xml:space="preserve">, </w:t>
      </w:r>
      <w:r w:rsidRPr="009F361D">
        <w:rPr>
          <w:rFonts w:ascii="Calibri" w:hAnsi="Calibri" w:cs="Miriam"/>
        </w:rPr>
        <w:t xml:space="preserve">champ marchand non agricole, comporte </w:t>
      </w:r>
      <w:r w:rsidRPr="00EA2467">
        <w:rPr>
          <w:rFonts w:ascii="Calibri" w:hAnsi="Calibri" w:cs="Miriam"/>
        </w:rPr>
        <w:t>46</w:t>
      </w:r>
      <w:r w:rsidR="00EA2467" w:rsidRPr="00EA2467">
        <w:rPr>
          <w:rFonts w:ascii="Calibri" w:hAnsi="Calibri" w:cs="Miriam"/>
        </w:rPr>
        <w:t>7</w:t>
      </w:r>
      <w:r w:rsidRPr="009F361D">
        <w:rPr>
          <w:rFonts w:ascii="Calibri" w:hAnsi="Calibri" w:cs="Miriam"/>
        </w:rPr>
        <w:t xml:space="preserve"> établissements de 100 salariés et plus, ce qui représente un taux de sondage de </w:t>
      </w:r>
      <w:r w:rsidRPr="002D75DF">
        <w:rPr>
          <w:rFonts w:ascii="Calibri" w:hAnsi="Calibri" w:cs="Miriam"/>
        </w:rPr>
        <w:t>9%</w:t>
      </w:r>
      <w:r w:rsidRPr="009F361D">
        <w:rPr>
          <w:rFonts w:ascii="Calibri" w:hAnsi="Calibri" w:cs="Miriam"/>
        </w:rPr>
        <w:t xml:space="preserve">. </w:t>
      </w:r>
    </w:p>
    <w:p w:rsidR="002B1371" w:rsidRPr="009F361D" w:rsidRDefault="002B1371" w:rsidP="002B1371">
      <w:pPr>
        <w:pStyle w:val="Corpsdetexte"/>
        <w:rPr>
          <w:rFonts w:ascii="Calibri" w:hAnsi="Calibri" w:cs="Miriam"/>
        </w:rPr>
      </w:pPr>
    </w:p>
    <w:p w:rsidR="002B1371" w:rsidRPr="002436B1" w:rsidRDefault="002B1371" w:rsidP="002B1371">
      <w:pPr>
        <w:pStyle w:val="Corpsdetexte"/>
        <w:rPr>
          <w:rFonts w:ascii="Calibri" w:hAnsi="Calibri" w:cs="Calibri"/>
        </w:rPr>
      </w:pPr>
      <w:r w:rsidRPr="002436B1">
        <w:rPr>
          <w:rFonts w:ascii="Calibri" w:hAnsi="Calibri" w:cs="Calibri"/>
        </w:rPr>
        <w:br w:type="page"/>
      </w:r>
      <w:r w:rsidRPr="002436B1">
        <w:rPr>
          <w:rFonts w:ascii="Calibri" w:hAnsi="Calibri" w:cs="Calibri"/>
        </w:rPr>
        <w:lastRenderedPageBreak/>
        <w:t xml:space="preserve">En supplément, </w:t>
      </w:r>
      <w:r w:rsidR="00EA2467" w:rsidRPr="00EA2467">
        <w:rPr>
          <w:rFonts w:ascii="Calibri" w:hAnsi="Calibri" w:cs="Calibri"/>
        </w:rPr>
        <w:t>87</w:t>
      </w:r>
      <w:r w:rsidRPr="00EA2467">
        <w:rPr>
          <w:rFonts w:ascii="Calibri" w:hAnsi="Calibri" w:cs="Calibri"/>
        </w:rPr>
        <w:t xml:space="preserve"> </w:t>
      </w:r>
      <w:r w:rsidRPr="002436B1">
        <w:rPr>
          <w:rFonts w:ascii="Calibri" w:hAnsi="Calibri" w:cs="Calibri"/>
        </w:rPr>
        <w:t xml:space="preserve">établissements de taille plus réduite (de 50 à 99 salariés), ont été interrogés dans le secteur commercial et chez les prestataires logistiques, ce qui porte à </w:t>
      </w:r>
      <w:r w:rsidRPr="00EA2467">
        <w:rPr>
          <w:rFonts w:ascii="Calibri" w:hAnsi="Calibri" w:cs="Calibri"/>
        </w:rPr>
        <w:t>55</w:t>
      </w:r>
      <w:r w:rsidR="00EA2467" w:rsidRPr="00EA2467">
        <w:rPr>
          <w:rFonts w:ascii="Calibri" w:hAnsi="Calibri" w:cs="Calibri"/>
        </w:rPr>
        <w:t>4</w:t>
      </w:r>
      <w:r w:rsidRPr="00EA2467">
        <w:rPr>
          <w:rFonts w:ascii="Calibri" w:hAnsi="Calibri" w:cs="Calibri"/>
        </w:rPr>
        <w:t xml:space="preserve"> </w:t>
      </w:r>
      <w:r w:rsidRPr="002436B1">
        <w:rPr>
          <w:rFonts w:ascii="Calibri" w:hAnsi="Calibri" w:cs="Calibri"/>
        </w:rPr>
        <w:t xml:space="preserve">le nombre total d’établissements sondés. </w:t>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Default="002B1371" w:rsidP="002B1371">
      <w:pPr>
        <w:pStyle w:val="Corpsdetexte"/>
        <w:jc w:val="center"/>
        <w:rPr>
          <w:rFonts w:ascii="Calibri" w:hAnsi="Calibri" w:cs="Calibri"/>
          <w:b/>
          <w:bCs/>
        </w:rPr>
      </w:pPr>
      <w:r w:rsidRPr="002436B1">
        <w:rPr>
          <w:rFonts w:ascii="Calibri" w:hAnsi="Calibri" w:cs="Calibri"/>
          <w:b/>
          <w:bCs/>
        </w:rPr>
        <w:t>Etablissements enquêtés par secteur d’activité et classe d’effectifs salariés</w:t>
      </w:r>
    </w:p>
    <w:p w:rsidR="00AD6615" w:rsidRPr="00020D96" w:rsidRDefault="00AD6615" w:rsidP="002B1371">
      <w:pPr>
        <w:pStyle w:val="Corpsdetexte"/>
        <w:jc w:val="center"/>
        <w:rPr>
          <w:rFonts w:ascii="Calibri" w:hAnsi="Calibri" w:cs="Calibri"/>
          <w:bCs/>
        </w:rPr>
      </w:pPr>
    </w:p>
    <w:tbl>
      <w:tblPr>
        <w:tblStyle w:val="Listemoyenne1-Accent3"/>
        <w:tblW w:w="5000" w:type="pct"/>
        <w:tblLook w:val="02A0" w:firstRow="1" w:lastRow="0" w:firstColumn="1" w:lastColumn="0" w:noHBand="1" w:noVBand="0"/>
      </w:tblPr>
      <w:tblGrid>
        <w:gridCol w:w="6174"/>
        <w:gridCol w:w="1777"/>
        <w:gridCol w:w="1423"/>
        <w:gridCol w:w="1423"/>
        <w:gridCol w:w="1423"/>
        <w:gridCol w:w="1423"/>
        <w:gridCol w:w="1426"/>
      </w:tblGrid>
      <w:tr w:rsidR="00964101" w:rsidRPr="00020D96" w:rsidTr="00B647C8">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49" w:type="pct"/>
            <w:tcBorders>
              <w:bottom w:val="single" w:sz="8" w:space="0" w:color="9BBB59"/>
            </w:tcBorders>
          </w:tcPr>
          <w:p w:rsidR="00964101" w:rsidRPr="00020D96" w:rsidRDefault="00964101" w:rsidP="00F3284E">
            <w:pPr>
              <w:pStyle w:val="Titre5"/>
              <w:outlineLvl w:val="4"/>
              <w:rPr>
                <w:rFonts w:ascii="Calibri" w:hAnsi="Calibri" w:cs="Calibri"/>
                <w:szCs w:val="24"/>
              </w:rPr>
            </w:pPr>
            <w:r w:rsidRPr="00020D96">
              <w:rPr>
                <w:rFonts w:ascii="Calibri" w:hAnsi="Calibri" w:cs="Calibri"/>
                <w:szCs w:val="24"/>
              </w:rPr>
              <w:t>SECTEURS</w:t>
            </w:r>
          </w:p>
        </w:tc>
        <w:tc>
          <w:tcPr>
            <w:cnfStyle w:val="000010000000" w:firstRow="0" w:lastRow="0" w:firstColumn="0" w:lastColumn="0" w:oddVBand="1" w:evenVBand="0" w:oddHBand="0" w:evenHBand="0" w:firstRowFirstColumn="0" w:firstRowLastColumn="0" w:lastRowFirstColumn="0" w:lastRowLastColumn="0"/>
            <w:tcW w:w="590" w:type="pct"/>
            <w:tcBorders>
              <w:bottom w:val="single" w:sz="8" w:space="0" w:color="9BBB59"/>
            </w:tcBorders>
            <w:shd w:val="clear" w:color="auto" w:fill="auto"/>
          </w:tcPr>
          <w:p w:rsidR="00964101" w:rsidRPr="00020D96" w:rsidRDefault="00964101" w:rsidP="00381CD6">
            <w:pPr>
              <w:jc w:val="center"/>
              <w:rPr>
                <w:rFonts w:ascii="Calibri" w:hAnsi="Calibri" w:cs="Calibri"/>
                <w:bCs/>
              </w:rPr>
            </w:pPr>
            <w:r w:rsidRPr="00020D96">
              <w:rPr>
                <w:rFonts w:ascii="Calibri" w:hAnsi="Calibri" w:cs="Calibri"/>
                <w:bCs/>
              </w:rPr>
              <w:t>Codes NES 36</w:t>
            </w:r>
          </w:p>
        </w:tc>
        <w:tc>
          <w:tcPr>
            <w:tcW w:w="2362" w:type="pct"/>
            <w:gridSpan w:val="5"/>
            <w:tcBorders>
              <w:bottom w:val="single" w:sz="8" w:space="0" w:color="9BBB59"/>
            </w:tcBorders>
            <w:noWrap/>
          </w:tcPr>
          <w:p w:rsidR="00964101" w:rsidRPr="00020D96" w:rsidRDefault="00964101" w:rsidP="00381CD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rPr>
            </w:pPr>
            <w:bookmarkStart w:id="2" w:name="_Toc223326775"/>
            <w:r w:rsidRPr="00020D96">
              <w:rPr>
                <w:rFonts w:ascii="Calibri" w:hAnsi="Calibri" w:cs="Calibri"/>
                <w:bCs/>
              </w:rPr>
              <w:t>Classes d'effectifs salariés</w:t>
            </w:r>
            <w:bookmarkEnd w:id="2"/>
          </w:p>
        </w:tc>
      </w:tr>
      <w:tr w:rsidR="00964101" w:rsidRPr="006957AA" w:rsidTr="005817EA">
        <w:trPr>
          <w:trHeight w:val="225"/>
        </w:trPr>
        <w:tc>
          <w:tcPr>
            <w:cnfStyle w:val="001000000000" w:firstRow="0" w:lastRow="0" w:firstColumn="1" w:lastColumn="0" w:oddVBand="0" w:evenVBand="0" w:oddHBand="0" w:evenHBand="0" w:firstRowFirstColumn="0" w:firstRowLastColumn="0" w:lastRowFirstColumn="0" w:lastRowLastColumn="0"/>
            <w:tcW w:w="2049" w:type="pct"/>
            <w:tcBorders>
              <w:top w:val="single" w:sz="8" w:space="0" w:color="9BBB59"/>
              <w:bottom w:val="single" w:sz="8" w:space="0" w:color="9BBB59"/>
            </w:tcBorders>
          </w:tcPr>
          <w:p w:rsidR="00964101" w:rsidRPr="006957AA" w:rsidRDefault="00964101" w:rsidP="00381CD6">
            <w:pPr>
              <w:ind w:left="71"/>
              <w:rPr>
                <w:rFonts w:ascii="Calibri" w:hAnsi="Calibri" w:cs="Calibri"/>
                <w:b w:val="0"/>
                <w:bCs w:val="0"/>
              </w:rPr>
            </w:pPr>
          </w:p>
        </w:tc>
        <w:tc>
          <w:tcPr>
            <w:cnfStyle w:val="000010000000" w:firstRow="0" w:lastRow="0" w:firstColumn="0" w:lastColumn="0" w:oddVBand="1" w:evenVBand="0" w:oddHBand="0" w:evenHBand="0" w:firstRowFirstColumn="0" w:firstRowLastColumn="0" w:lastRowFirstColumn="0" w:lastRowLastColumn="0"/>
            <w:tcW w:w="590" w:type="pct"/>
            <w:tcBorders>
              <w:top w:val="single" w:sz="8" w:space="0" w:color="9BBB59"/>
              <w:bottom w:val="single" w:sz="8" w:space="0" w:color="9BBB59"/>
            </w:tcBorders>
          </w:tcPr>
          <w:p w:rsidR="00964101" w:rsidRPr="006957AA" w:rsidRDefault="00964101" w:rsidP="00381CD6">
            <w:pPr>
              <w:jc w:val="center"/>
              <w:rPr>
                <w:rFonts w:ascii="Calibri" w:hAnsi="Calibri" w:cs="Calibri"/>
                <w:bCs/>
              </w:rPr>
            </w:pPr>
          </w:p>
        </w:tc>
        <w:tc>
          <w:tcPr>
            <w:tcW w:w="472" w:type="pct"/>
            <w:tcBorders>
              <w:top w:val="single" w:sz="8" w:space="0" w:color="9BBB59"/>
              <w:bottom w:val="single" w:sz="8" w:space="0" w:color="9BBB59"/>
            </w:tcBorders>
          </w:tcPr>
          <w:p w:rsidR="00964101" w:rsidRPr="006957AA" w:rsidRDefault="00964101" w:rsidP="006957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957AA">
              <w:rPr>
                <w:rFonts w:ascii="Calibri" w:hAnsi="Calibri" w:cs="Calibri"/>
                <w:bCs/>
              </w:rPr>
              <w:t>50 à 99</w:t>
            </w:r>
          </w:p>
        </w:tc>
        <w:tc>
          <w:tcPr>
            <w:cnfStyle w:val="000010000000" w:firstRow="0" w:lastRow="0" w:firstColumn="0" w:lastColumn="0" w:oddVBand="1" w:evenVBand="0" w:oddHBand="0" w:evenHBand="0" w:firstRowFirstColumn="0" w:firstRowLastColumn="0" w:lastRowFirstColumn="0" w:lastRowLastColumn="0"/>
            <w:tcW w:w="472" w:type="pct"/>
            <w:tcBorders>
              <w:top w:val="single" w:sz="8" w:space="0" w:color="9BBB59"/>
              <w:bottom w:val="single" w:sz="8" w:space="0" w:color="9BBB59"/>
            </w:tcBorders>
            <w:noWrap/>
          </w:tcPr>
          <w:p w:rsidR="00964101" w:rsidRPr="006957AA" w:rsidRDefault="00964101" w:rsidP="006957AA">
            <w:pPr>
              <w:jc w:val="center"/>
              <w:rPr>
                <w:rFonts w:ascii="Calibri" w:hAnsi="Calibri" w:cs="Calibri"/>
                <w:bCs/>
              </w:rPr>
            </w:pPr>
            <w:r w:rsidRPr="006957AA">
              <w:rPr>
                <w:rFonts w:ascii="Calibri" w:hAnsi="Calibri" w:cs="Calibri"/>
                <w:bCs/>
              </w:rPr>
              <w:t>100 à 199</w:t>
            </w:r>
          </w:p>
        </w:tc>
        <w:tc>
          <w:tcPr>
            <w:tcW w:w="472" w:type="pct"/>
            <w:tcBorders>
              <w:top w:val="single" w:sz="8" w:space="0" w:color="9BBB59"/>
              <w:bottom w:val="single" w:sz="8" w:space="0" w:color="9BBB59"/>
            </w:tcBorders>
            <w:noWrap/>
          </w:tcPr>
          <w:p w:rsidR="00964101" w:rsidRPr="006957AA" w:rsidRDefault="00964101" w:rsidP="006957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957AA">
              <w:rPr>
                <w:rFonts w:ascii="Calibri" w:hAnsi="Calibri" w:cs="Calibri"/>
                <w:bCs/>
              </w:rPr>
              <w:t>200 à 499</w:t>
            </w:r>
          </w:p>
        </w:tc>
        <w:tc>
          <w:tcPr>
            <w:cnfStyle w:val="000010000000" w:firstRow="0" w:lastRow="0" w:firstColumn="0" w:lastColumn="0" w:oddVBand="1" w:evenVBand="0" w:oddHBand="0" w:evenHBand="0" w:firstRowFirstColumn="0" w:firstRowLastColumn="0" w:lastRowFirstColumn="0" w:lastRowLastColumn="0"/>
            <w:tcW w:w="472" w:type="pct"/>
            <w:tcBorders>
              <w:top w:val="single" w:sz="8" w:space="0" w:color="9BBB59"/>
              <w:bottom w:val="single" w:sz="8" w:space="0" w:color="9BBB59"/>
            </w:tcBorders>
            <w:noWrap/>
          </w:tcPr>
          <w:p w:rsidR="00964101" w:rsidRPr="006957AA" w:rsidRDefault="00964101" w:rsidP="006957AA">
            <w:pPr>
              <w:jc w:val="center"/>
              <w:rPr>
                <w:rFonts w:ascii="Calibri" w:hAnsi="Calibri" w:cs="Calibri"/>
                <w:bCs/>
              </w:rPr>
            </w:pPr>
            <w:r w:rsidRPr="006957AA">
              <w:rPr>
                <w:rFonts w:ascii="Calibri" w:hAnsi="Calibri" w:cs="Calibri"/>
                <w:bCs/>
              </w:rPr>
              <w:t>500 et +</w:t>
            </w:r>
          </w:p>
        </w:tc>
        <w:tc>
          <w:tcPr>
            <w:tcW w:w="473" w:type="pct"/>
            <w:tcBorders>
              <w:top w:val="single" w:sz="8" w:space="0" w:color="9BBB59"/>
              <w:bottom w:val="single" w:sz="8" w:space="0" w:color="9BBB59"/>
            </w:tcBorders>
            <w:noWrap/>
          </w:tcPr>
          <w:p w:rsidR="00964101" w:rsidRPr="006957AA" w:rsidRDefault="00964101" w:rsidP="00381CD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957AA">
              <w:rPr>
                <w:rFonts w:ascii="Calibri" w:hAnsi="Calibri" w:cs="Calibri"/>
                <w:bCs/>
              </w:rPr>
              <w:t>Total</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tcBorders>
              <w:top w:val="single" w:sz="8" w:space="0" w:color="9BBB59"/>
            </w:tcBorders>
            <w:noWrap/>
          </w:tcPr>
          <w:p w:rsidR="00B647C8" w:rsidRPr="006957AA" w:rsidRDefault="00B647C8" w:rsidP="00F3284E">
            <w:pPr>
              <w:pStyle w:val="Titre4"/>
              <w:outlineLvl w:val="3"/>
              <w:rPr>
                <w:rFonts w:ascii="Calibri" w:hAnsi="Calibri" w:cs="Calibri"/>
                <w:szCs w:val="24"/>
              </w:rPr>
            </w:pPr>
            <w:r w:rsidRPr="006957AA">
              <w:rPr>
                <w:rFonts w:ascii="Calibri" w:hAnsi="Calibri" w:cs="Calibri"/>
                <w:szCs w:val="24"/>
              </w:rPr>
              <w:t>Industries agricoles et alimentaires</w:t>
            </w:r>
          </w:p>
        </w:tc>
        <w:tc>
          <w:tcPr>
            <w:cnfStyle w:val="000010000000" w:firstRow="0" w:lastRow="0" w:firstColumn="0" w:lastColumn="0" w:oddVBand="1" w:evenVBand="0" w:oddHBand="0" w:evenHBand="0" w:firstRowFirstColumn="0" w:firstRowLastColumn="0" w:lastRowFirstColumn="0" w:lastRowLastColumn="0"/>
            <w:tcW w:w="590" w:type="pct"/>
            <w:tcBorders>
              <w:top w:val="single" w:sz="8" w:space="0" w:color="9BBB59"/>
            </w:tcBorders>
            <w:noWrap/>
          </w:tcPr>
          <w:p w:rsidR="00B647C8" w:rsidRPr="006957AA" w:rsidRDefault="00B647C8" w:rsidP="00381CD6">
            <w:pPr>
              <w:jc w:val="center"/>
              <w:rPr>
                <w:rFonts w:ascii="Calibri" w:hAnsi="Calibri" w:cs="Calibri"/>
                <w:bCs/>
              </w:rPr>
            </w:pPr>
            <w:r w:rsidRPr="006957AA">
              <w:rPr>
                <w:rFonts w:ascii="Calibri" w:hAnsi="Calibri" w:cs="Calibri"/>
                <w:bCs/>
              </w:rPr>
              <w:t>B0</w:t>
            </w:r>
          </w:p>
        </w:tc>
        <w:tc>
          <w:tcPr>
            <w:tcW w:w="472" w:type="pct"/>
            <w:tcBorders>
              <w:top w:val="single" w:sz="8" w:space="0" w:color="9BBB59"/>
            </w:tcBorders>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0</w:t>
            </w:r>
          </w:p>
        </w:tc>
        <w:tc>
          <w:tcPr>
            <w:cnfStyle w:val="000010000000" w:firstRow="0" w:lastRow="0" w:firstColumn="0" w:lastColumn="0" w:oddVBand="1" w:evenVBand="0" w:oddHBand="0" w:evenHBand="0" w:firstRowFirstColumn="0" w:firstRowLastColumn="0" w:lastRowFirstColumn="0" w:lastRowLastColumn="0"/>
            <w:tcW w:w="472" w:type="pct"/>
            <w:tcBorders>
              <w:top w:val="single" w:sz="8" w:space="0" w:color="9BBB59"/>
            </w:tcBorders>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35</w:t>
            </w:r>
          </w:p>
        </w:tc>
        <w:tc>
          <w:tcPr>
            <w:tcW w:w="472" w:type="pct"/>
            <w:tcBorders>
              <w:top w:val="single" w:sz="8" w:space="0" w:color="9BBB59"/>
            </w:tcBorders>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36</w:t>
            </w:r>
          </w:p>
        </w:tc>
        <w:tc>
          <w:tcPr>
            <w:cnfStyle w:val="000010000000" w:firstRow="0" w:lastRow="0" w:firstColumn="0" w:lastColumn="0" w:oddVBand="1" w:evenVBand="0" w:oddHBand="0" w:evenHBand="0" w:firstRowFirstColumn="0" w:firstRowLastColumn="0" w:lastRowFirstColumn="0" w:lastRowLastColumn="0"/>
            <w:tcW w:w="472" w:type="pct"/>
            <w:tcBorders>
              <w:top w:val="single" w:sz="8" w:space="0" w:color="9BBB59"/>
            </w:tcBorders>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11</w:t>
            </w:r>
          </w:p>
        </w:tc>
        <w:tc>
          <w:tcPr>
            <w:tcW w:w="473" w:type="pct"/>
            <w:tcBorders>
              <w:top w:val="single" w:sz="8" w:space="0" w:color="9BBB59"/>
            </w:tcBorders>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82</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Pharmacie, parfumerie et entretien</w:t>
            </w:r>
          </w:p>
        </w:tc>
        <w:tc>
          <w:tcPr>
            <w:cnfStyle w:val="000010000000" w:firstRow="0" w:lastRow="0" w:firstColumn="0" w:lastColumn="0" w:oddVBand="1" w:evenVBand="0" w:oddHBand="0" w:evenHBand="0" w:firstRowFirstColumn="0" w:firstRowLastColumn="0" w:lastRowFirstColumn="0" w:lastRowLastColumn="0"/>
            <w:tcW w:w="590" w:type="pct"/>
            <w:noWrap/>
          </w:tcPr>
          <w:p w:rsidR="00B647C8" w:rsidRPr="006957AA" w:rsidRDefault="00B647C8" w:rsidP="00381CD6">
            <w:pPr>
              <w:jc w:val="center"/>
              <w:rPr>
                <w:rFonts w:ascii="Calibri" w:hAnsi="Calibri" w:cs="Calibri"/>
                <w:bCs/>
              </w:rPr>
            </w:pPr>
            <w:r w:rsidRPr="006957AA">
              <w:rPr>
                <w:rFonts w:ascii="Calibri" w:hAnsi="Calibri" w:cs="Calibri"/>
                <w:bCs/>
              </w:rPr>
              <w:t>C3</w:t>
            </w:r>
          </w:p>
        </w:tc>
        <w:tc>
          <w:tcPr>
            <w:tcW w:w="472" w:type="pct"/>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0</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9</w:t>
            </w:r>
          </w:p>
        </w:tc>
        <w:tc>
          <w:tcPr>
            <w:tcW w:w="472"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19</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3</w:t>
            </w:r>
          </w:p>
        </w:tc>
        <w:tc>
          <w:tcPr>
            <w:tcW w:w="473"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31</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Industrie automobile</w:t>
            </w:r>
          </w:p>
        </w:tc>
        <w:tc>
          <w:tcPr>
            <w:cnfStyle w:val="000010000000" w:firstRow="0" w:lastRow="0" w:firstColumn="0" w:lastColumn="0" w:oddVBand="1" w:evenVBand="0" w:oddHBand="0" w:evenHBand="0" w:firstRowFirstColumn="0" w:firstRowLastColumn="0" w:lastRowFirstColumn="0" w:lastRowLastColumn="0"/>
            <w:tcW w:w="590" w:type="pct"/>
            <w:noWrap/>
          </w:tcPr>
          <w:p w:rsidR="00B647C8" w:rsidRPr="006957AA" w:rsidRDefault="00B647C8" w:rsidP="00381CD6">
            <w:pPr>
              <w:jc w:val="center"/>
              <w:rPr>
                <w:rFonts w:ascii="Calibri" w:hAnsi="Calibri" w:cs="Calibri"/>
                <w:bCs/>
              </w:rPr>
            </w:pPr>
            <w:r w:rsidRPr="006957AA">
              <w:rPr>
                <w:rFonts w:ascii="Calibri" w:hAnsi="Calibri" w:cs="Calibri"/>
                <w:bCs/>
              </w:rPr>
              <w:t>D0</w:t>
            </w:r>
          </w:p>
        </w:tc>
        <w:tc>
          <w:tcPr>
            <w:tcW w:w="472" w:type="pct"/>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0</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17</w:t>
            </w:r>
          </w:p>
        </w:tc>
        <w:tc>
          <w:tcPr>
            <w:tcW w:w="472"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8</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10</w:t>
            </w:r>
          </w:p>
        </w:tc>
        <w:tc>
          <w:tcPr>
            <w:tcW w:w="473"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35</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Industrie des équipements mécaniques</w:t>
            </w:r>
          </w:p>
        </w:tc>
        <w:tc>
          <w:tcPr>
            <w:cnfStyle w:val="000010000000" w:firstRow="0" w:lastRow="0" w:firstColumn="0" w:lastColumn="0" w:oddVBand="1" w:evenVBand="0" w:oddHBand="0" w:evenHBand="0" w:firstRowFirstColumn="0" w:firstRowLastColumn="0" w:lastRowFirstColumn="0" w:lastRowLastColumn="0"/>
            <w:tcW w:w="590" w:type="pct"/>
            <w:noWrap/>
          </w:tcPr>
          <w:p w:rsidR="00B647C8" w:rsidRPr="006957AA" w:rsidRDefault="00B647C8" w:rsidP="00381CD6">
            <w:pPr>
              <w:jc w:val="center"/>
              <w:rPr>
                <w:rFonts w:ascii="Calibri" w:hAnsi="Calibri" w:cs="Calibri"/>
                <w:bCs/>
              </w:rPr>
            </w:pPr>
            <w:r w:rsidRPr="006957AA">
              <w:rPr>
                <w:rFonts w:ascii="Calibri" w:hAnsi="Calibri" w:cs="Calibri"/>
                <w:bCs/>
              </w:rPr>
              <w:t>E2</w:t>
            </w:r>
          </w:p>
        </w:tc>
        <w:tc>
          <w:tcPr>
            <w:tcW w:w="472" w:type="pct"/>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0</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48</w:t>
            </w:r>
          </w:p>
        </w:tc>
        <w:tc>
          <w:tcPr>
            <w:tcW w:w="472"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30</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12</w:t>
            </w:r>
          </w:p>
        </w:tc>
        <w:tc>
          <w:tcPr>
            <w:tcW w:w="473"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90</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Chimie, caoutchouc, plastiques</w:t>
            </w:r>
          </w:p>
        </w:tc>
        <w:tc>
          <w:tcPr>
            <w:cnfStyle w:val="000010000000" w:firstRow="0" w:lastRow="0" w:firstColumn="0" w:lastColumn="0" w:oddVBand="1" w:evenVBand="0" w:oddHBand="0" w:evenHBand="0" w:firstRowFirstColumn="0" w:firstRowLastColumn="0" w:lastRowFirstColumn="0" w:lastRowLastColumn="0"/>
            <w:tcW w:w="590" w:type="pct"/>
            <w:noWrap/>
          </w:tcPr>
          <w:p w:rsidR="00B647C8" w:rsidRPr="006957AA" w:rsidRDefault="00B647C8" w:rsidP="00381CD6">
            <w:pPr>
              <w:jc w:val="center"/>
              <w:rPr>
                <w:rFonts w:ascii="Calibri" w:hAnsi="Calibri" w:cs="Calibri"/>
                <w:bCs/>
              </w:rPr>
            </w:pPr>
            <w:r w:rsidRPr="006957AA">
              <w:rPr>
                <w:rFonts w:ascii="Calibri" w:hAnsi="Calibri" w:cs="Calibri"/>
                <w:bCs/>
              </w:rPr>
              <w:t>F4</w:t>
            </w:r>
          </w:p>
        </w:tc>
        <w:tc>
          <w:tcPr>
            <w:tcW w:w="472" w:type="pct"/>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0</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37</w:t>
            </w:r>
          </w:p>
        </w:tc>
        <w:tc>
          <w:tcPr>
            <w:tcW w:w="472"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29</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4</w:t>
            </w:r>
          </w:p>
        </w:tc>
        <w:tc>
          <w:tcPr>
            <w:tcW w:w="473"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70</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Commerce</w:t>
            </w:r>
          </w:p>
        </w:tc>
        <w:tc>
          <w:tcPr>
            <w:cnfStyle w:val="000010000000" w:firstRow="0" w:lastRow="0" w:firstColumn="0" w:lastColumn="0" w:oddVBand="1" w:evenVBand="0" w:oddHBand="0" w:evenHBand="0" w:firstRowFirstColumn="0" w:firstRowLastColumn="0" w:lastRowFirstColumn="0" w:lastRowLastColumn="0"/>
            <w:tcW w:w="590" w:type="pct"/>
            <w:noWrap/>
          </w:tcPr>
          <w:p w:rsidR="00B647C8" w:rsidRPr="006957AA" w:rsidRDefault="00B647C8" w:rsidP="00381CD6">
            <w:pPr>
              <w:jc w:val="center"/>
              <w:rPr>
                <w:rFonts w:ascii="Calibri" w:hAnsi="Calibri" w:cs="Calibri"/>
                <w:bCs/>
              </w:rPr>
            </w:pPr>
            <w:r w:rsidRPr="006957AA">
              <w:rPr>
                <w:rFonts w:ascii="Calibri" w:hAnsi="Calibri" w:cs="Calibri"/>
                <w:bCs/>
              </w:rPr>
              <w:t>J1, J2, J3</w:t>
            </w:r>
          </w:p>
        </w:tc>
        <w:tc>
          <w:tcPr>
            <w:tcW w:w="472" w:type="pct"/>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39</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54</w:t>
            </w:r>
          </w:p>
        </w:tc>
        <w:tc>
          <w:tcPr>
            <w:tcW w:w="472"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32</w:t>
            </w:r>
          </w:p>
        </w:tc>
        <w:tc>
          <w:tcPr>
            <w:cnfStyle w:val="000010000000" w:firstRow="0" w:lastRow="0" w:firstColumn="0" w:lastColumn="0" w:oddVBand="1" w:evenVBand="0" w:oddHBand="0" w:evenHBand="0" w:firstRowFirstColumn="0" w:firstRowLastColumn="0" w:lastRowFirstColumn="0" w:lastRowLastColumn="0"/>
            <w:tcW w:w="472" w:type="pct"/>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7</w:t>
            </w:r>
          </w:p>
        </w:tc>
        <w:tc>
          <w:tcPr>
            <w:tcW w:w="473" w:type="pct"/>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132</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tcBorders>
              <w:bottom w:val="single" w:sz="8" w:space="0" w:color="9BBB59"/>
            </w:tcBorders>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Prestataires transport/logistique</w:t>
            </w:r>
          </w:p>
        </w:tc>
        <w:tc>
          <w:tcPr>
            <w:cnfStyle w:val="000010000000" w:firstRow="0" w:lastRow="0" w:firstColumn="0" w:lastColumn="0" w:oddVBand="1" w:evenVBand="0" w:oddHBand="0" w:evenHBand="0" w:firstRowFirstColumn="0" w:firstRowLastColumn="0" w:lastRowFirstColumn="0" w:lastRowLastColumn="0"/>
            <w:tcW w:w="590" w:type="pct"/>
            <w:tcBorders>
              <w:bottom w:val="single" w:sz="8" w:space="0" w:color="9BBB59"/>
            </w:tcBorders>
            <w:noWrap/>
          </w:tcPr>
          <w:p w:rsidR="00B647C8" w:rsidRPr="006957AA" w:rsidRDefault="00B647C8" w:rsidP="00381CD6">
            <w:pPr>
              <w:jc w:val="center"/>
              <w:rPr>
                <w:rFonts w:ascii="Calibri" w:hAnsi="Calibri" w:cs="Calibri"/>
                <w:bCs/>
              </w:rPr>
            </w:pPr>
            <w:r w:rsidRPr="006957AA">
              <w:rPr>
                <w:rFonts w:ascii="Calibri" w:hAnsi="Calibri" w:cs="Calibri"/>
                <w:bCs/>
              </w:rPr>
              <w:t>K0</w:t>
            </w:r>
          </w:p>
        </w:tc>
        <w:tc>
          <w:tcPr>
            <w:tcW w:w="472" w:type="pct"/>
            <w:tcBorders>
              <w:bottom w:val="single" w:sz="8" w:space="0" w:color="9BBB59"/>
            </w:tcBorders>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48</w:t>
            </w:r>
          </w:p>
        </w:tc>
        <w:tc>
          <w:tcPr>
            <w:cnfStyle w:val="000010000000" w:firstRow="0" w:lastRow="0" w:firstColumn="0" w:lastColumn="0" w:oddVBand="1" w:evenVBand="0" w:oddHBand="0" w:evenHBand="0" w:firstRowFirstColumn="0" w:firstRowLastColumn="0" w:lastRowFirstColumn="0" w:lastRowLastColumn="0"/>
            <w:tcW w:w="472" w:type="pct"/>
            <w:tcBorders>
              <w:bottom w:val="single" w:sz="8" w:space="0" w:color="9BBB59"/>
            </w:tcBorders>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47</w:t>
            </w:r>
          </w:p>
        </w:tc>
        <w:tc>
          <w:tcPr>
            <w:tcW w:w="472" w:type="pct"/>
            <w:tcBorders>
              <w:bottom w:val="single" w:sz="8" w:space="0" w:color="9BBB59"/>
            </w:tcBorders>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18</w:t>
            </w:r>
          </w:p>
        </w:tc>
        <w:tc>
          <w:tcPr>
            <w:cnfStyle w:val="000010000000" w:firstRow="0" w:lastRow="0" w:firstColumn="0" w:lastColumn="0" w:oddVBand="1" w:evenVBand="0" w:oddHBand="0" w:evenHBand="0" w:firstRowFirstColumn="0" w:firstRowLastColumn="0" w:lastRowFirstColumn="0" w:lastRowLastColumn="0"/>
            <w:tcW w:w="472" w:type="pct"/>
            <w:tcBorders>
              <w:bottom w:val="single" w:sz="8" w:space="0" w:color="9BBB59"/>
            </w:tcBorders>
            <w:noWrap/>
            <w:vAlign w:val="bottom"/>
          </w:tcPr>
          <w:p w:rsidR="00B647C8" w:rsidRPr="00DB75EB" w:rsidRDefault="00B647C8" w:rsidP="00DB75EB">
            <w:pPr>
              <w:jc w:val="center"/>
              <w:rPr>
                <w:rFonts w:ascii="Calibri" w:hAnsi="Calibri" w:cs="Calibri"/>
                <w:color w:val="000000"/>
                <w:szCs w:val="16"/>
              </w:rPr>
            </w:pPr>
            <w:r w:rsidRPr="00DB75EB">
              <w:rPr>
                <w:rFonts w:ascii="Calibri" w:hAnsi="Calibri" w:cs="Calibri"/>
                <w:color w:val="000000"/>
                <w:szCs w:val="16"/>
              </w:rPr>
              <w:t>1</w:t>
            </w:r>
          </w:p>
        </w:tc>
        <w:tc>
          <w:tcPr>
            <w:tcW w:w="473" w:type="pct"/>
            <w:tcBorders>
              <w:bottom w:val="single" w:sz="8" w:space="0" w:color="9BBB59"/>
            </w:tcBorders>
            <w:noWrap/>
            <w:vAlign w:val="bottom"/>
          </w:tcPr>
          <w:p w:rsidR="00B647C8" w:rsidRPr="00DB75EB"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DB75EB">
              <w:rPr>
                <w:rFonts w:ascii="Calibri" w:hAnsi="Calibri" w:cs="Calibri"/>
                <w:color w:val="000000"/>
                <w:szCs w:val="16"/>
              </w:rPr>
              <w:t>114</w:t>
            </w:r>
          </w:p>
        </w:tc>
      </w:tr>
      <w:tr w:rsidR="00B647C8" w:rsidRPr="006957AA" w:rsidTr="001D2E19">
        <w:trPr>
          <w:trHeight w:val="225"/>
        </w:trPr>
        <w:tc>
          <w:tcPr>
            <w:cnfStyle w:val="001000000000" w:firstRow="0" w:lastRow="0" w:firstColumn="1" w:lastColumn="0" w:oddVBand="0" w:evenVBand="0" w:oddHBand="0" w:evenHBand="0" w:firstRowFirstColumn="0" w:firstRowLastColumn="0" w:lastRowFirstColumn="0" w:lastRowLastColumn="0"/>
            <w:tcW w:w="2049" w:type="pct"/>
            <w:tcBorders>
              <w:top w:val="single" w:sz="8" w:space="0" w:color="9BBB59"/>
              <w:bottom w:val="single" w:sz="8" w:space="0" w:color="9BBB59"/>
            </w:tcBorders>
            <w:noWrap/>
          </w:tcPr>
          <w:p w:rsidR="00B647C8" w:rsidRPr="006957AA" w:rsidRDefault="00B647C8" w:rsidP="00381CD6">
            <w:pPr>
              <w:ind w:left="71"/>
              <w:rPr>
                <w:rFonts w:ascii="Calibri" w:hAnsi="Calibri" w:cs="Calibri"/>
                <w:b w:val="0"/>
                <w:bCs w:val="0"/>
              </w:rPr>
            </w:pPr>
            <w:r w:rsidRPr="006957AA">
              <w:rPr>
                <w:rFonts w:ascii="Calibri" w:hAnsi="Calibri" w:cs="Calibri"/>
                <w:b w:val="0"/>
                <w:bCs w:val="0"/>
              </w:rPr>
              <w:t xml:space="preserve">Total </w:t>
            </w:r>
          </w:p>
        </w:tc>
        <w:tc>
          <w:tcPr>
            <w:cnfStyle w:val="000010000000" w:firstRow="0" w:lastRow="0" w:firstColumn="0" w:lastColumn="0" w:oddVBand="1" w:evenVBand="0" w:oddHBand="0" w:evenHBand="0" w:firstRowFirstColumn="0" w:firstRowLastColumn="0" w:lastRowFirstColumn="0" w:lastRowLastColumn="0"/>
            <w:tcW w:w="590" w:type="pct"/>
            <w:tcBorders>
              <w:top w:val="single" w:sz="8" w:space="0" w:color="9BBB59"/>
              <w:bottom w:val="single" w:sz="8" w:space="0" w:color="9BBB59"/>
            </w:tcBorders>
            <w:noWrap/>
          </w:tcPr>
          <w:p w:rsidR="00B647C8" w:rsidRPr="006957AA" w:rsidRDefault="00B647C8" w:rsidP="00381CD6">
            <w:pPr>
              <w:jc w:val="center"/>
              <w:rPr>
                <w:rFonts w:ascii="Calibri" w:hAnsi="Calibri" w:cs="Calibri"/>
                <w:bCs/>
              </w:rPr>
            </w:pPr>
          </w:p>
        </w:tc>
        <w:tc>
          <w:tcPr>
            <w:tcW w:w="472" w:type="pct"/>
            <w:tcBorders>
              <w:top w:val="single" w:sz="8" w:space="0" w:color="9BBB59"/>
              <w:bottom w:val="single" w:sz="8" w:space="0" w:color="9BBB59"/>
            </w:tcBorders>
            <w:vAlign w:val="bottom"/>
          </w:tcPr>
          <w:p w:rsidR="00B647C8" w:rsidRPr="00395A32"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16"/>
              </w:rPr>
            </w:pPr>
            <w:r w:rsidRPr="00395A32">
              <w:rPr>
                <w:rFonts w:ascii="Calibri" w:hAnsi="Calibri" w:cs="Calibri"/>
                <w:b/>
                <w:color w:val="000000"/>
                <w:szCs w:val="16"/>
              </w:rPr>
              <w:t>87</w:t>
            </w:r>
          </w:p>
        </w:tc>
        <w:tc>
          <w:tcPr>
            <w:cnfStyle w:val="000010000000" w:firstRow="0" w:lastRow="0" w:firstColumn="0" w:lastColumn="0" w:oddVBand="1" w:evenVBand="0" w:oddHBand="0" w:evenHBand="0" w:firstRowFirstColumn="0" w:firstRowLastColumn="0" w:lastRowFirstColumn="0" w:lastRowLastColumn="0"/>
            <w:tcW w:w="472" w:type="pct"/>
            <w:tcBorders>
              <w:top w:val="single" w:sz="8" w:space="0" w:color="9BBB59"/>
              <w:bottom w:val="single" w:sz="8" w:space="0" w:color="9BBB59"/>
            </w:tcBorders>
            <w:noWrap/>
            <w:vAlign w:val="bottom"/>
          </w:tcPr>
          <w:p w:rsidR="00B647C8" w:rsidRPr="00395A32" w:rsidRDefault="00B647C8" w:rsidP="00DB75EB">
            <w:pPr>
              <w:jc w:val="center"/>
              <w:rPr>
                <w:rFonts w:ascii="Calibri" w:hAnsi="Calibri" w:cs="Calibri"/>
                <w:b/>
                <w:color w:val="000000"/>
                <w:szCs w:val="16"/>
              </w:rPr>
            </w:pPr>
            <w:r w:rsidRPr="00395A32">
              <w:rPr>
                <w:rFonts w:ascii="Calibri" w:hAnsi="Calibri" w:cs="Calibri"/>
                <w:b/>
                <w:color w:val="000000"/>
                <w:szCs w:val="16"/>
              </w:rPr>
              <w:t>247</w:t>
            </w:r>
          </w:p>
        </w:tc>
        <w:tc>
          <w:tcPr>
            <w:tcW w:w="472" w:type="pct"/>
            <w:tcBorders>
              <w:top w:val="single" w:sz="8" w:space="0" w:color="9BBB59"/>
              <w:bottom w:val="single" w:sz="8" w:space="0" w:color="9BBB59"/>
            </w:tcBorders>
            <w:noWrap/>
            <w:vAlign w:val="bottom"/>
          </w:tcPr>
          <w:p w:rsidR="00B647C8" w:rsidRPr="00395A32"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16"/>
              </w:rPr>
            </w:pPr>
            <w:r w:rsidRPr="00395A32">
              <w:rPr>
                <w:rFonts w:ascii="Calibri" w:hAnsi="Calibri" w:cs="Calibri"/>
                <w:b/>
                <w:color w:val="000000"/>
                <w:szCs w:val="16"/>
              </w:rPr>
              <w:t>172</w:t>
            </w:r>
          </w:p>
        </w:tc>
        <w:tc>
          <w:tcPr>
            <w:cnfStyle w:val="000010000000" w:firstRow="0" w:lastRow="0" w:firstColumn="0" w:lastColumn="0" w:oddVBand="1" w:evenVBand="0" w:oddHBand="0" w:evenHBand="0" w:firstRowFirstColumn="0" w:firstRowLastColumn="0" w:lastRowFirstColumn="0" w:lastRowLastColumn="0"/>
            <w:tcW w:w="472" w:type="pct"/>
            <w:tcBorders>
              <w:top w:val="single" w:sz="8" w:space="0" w:color="9BBB59"/>
              <w:bottom w:val="single" w:sz="8" w:space="0" w:color="9BBB59"/>
            </w:tcBorders>
            <w:noWrap/>
            <w:vAlign w:val="bottom"/>
          </w:tcPr>
          <w:p w:rsidR="00B647C8" w:rsidRPr="00395A32" w:rsidRDefault="00B647C8" w:rsidP="00DB75EB">
            <w:pPr>
              <w:jc w:val="center"/>
              <w:rPr>
                <w:rFonts w:ascii="Calibri" w:hAnsi="Calibri" w:cs="Calibri"/>
                <w:b/>
                <w:color w:val="000000"/>
                <w:szCs w:val="16"/>
              </w:rPr>
            </w:pPr>
            <w:r w:rsidRPr="00395A32">
              <w:rPr>
                <w:rFonts w:ascii="Calibri" w:hAnsi="Calibri" w:cs="Calibri"/>
                <w:b/>
                <w:color w:val="000000"/>
                <w:szCs w:val="16"/>
              </w:rPr>
              <w:t>48</w:t>
            </w:r>
          </w:p>
        </w:tc>
        <w:tc>
          <w:tcPr>
            <w:tcW w:w="473" w:type="pct"/>
            <w:tcBorders>
              <w:top w:val="single" w:sz="8" w:space="0" w:color="9BBB59"/>
              <w:bottom w:val="single" w:sz="8" w:space="0" w:color="9BBB59"/>
            </w:tcBorders>
            <w:noWrap/>
            <w:vAlign w:val="bottom"/>
          </w:tcPr>
          <w:p w:rsidR="00B647C8" w:rsidRPr="00395A32" w:rsidRDefault="00B647C8"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16"/>
              </w:rPr>
            </w:pPr>
            <w:r w:rsidRPr="00395A32">
              <w:rPr>
                <w:rFonts w:ascii="Calibri" w:hAnsi="Calibri" w:cs="Calibri"/>
                <w:b/>
                <w:color w:val="000000"/>
                <w:szCs w:val="16"/>
              </w:rPr>
              <w:t>554</w:t>
            </w:r>
          </w:p>
        </w:tc>
      </w:tr>
    </w:tbl>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r w:rsidRPr="002436B1">
        <w:rPr>
          <w:rFonts w:ascii="Calibri" w:hAnsi="Calibri" w:cs="Calibri"/>
        </w:rPr>
        <w:t xml:space="preserve">L’enquête téléphonique a été réalisée du </w:t>
      </w:r>
      <w:r w:rsidR="00C65669" w:rsidRPr="00B647C8">
        <w:rPr>
          <w:rFonts w:ascii="Calibri" w:hAnsi="Calibri" w:cs="Calibri"/>
        </w:rPr>
        <w:t>12</w:t>
      </w:r>
      <w:r w:rsidRPr="00B647C8">
        <w:rPr>
          <w:rFonts w:ascii="Calibri" w:hAnsi="Calibri" w:cs="Calibri"/>
        </w:rPr>
        <w:t xml:space="preserve"> janvier au </w:t>
      </w:r>
      <w:r w:rsidR="00C65669" w:rsidRPr="00B647C8">
        <w:rPr>
          <w:rFonts w:ascii="Calibri" w:hAnsi="Calibri" w:cs="Calibri"/>
        </w:rPr>
        <w:t>12</w:t>
      </w:r>
      <w:r w:rsidRPr="00B647C8">
        <w:rPr>
          <w:rFonts w:ascii="Calibri" w:hAnsi="Calibri" w:cs="Calibri"/>
        </w:rPr>
        <w:t xml:space="preserve"> février 201</w:t>
      </w:r>
      <w:r w:rsidR="00495C95" w:rsidRPr="00B647C8">
        <w:rPr>
          <w:rFonts w:ascii="Calibri" w:hAnsi="Calibri" w:cs="Calibri"/>
        </w:rPr>
        <w:t>5</w:t>
      </w:r>
      <w:r w:rsidRPr="002436B1">
        <w:rPr>
          <w:rFonts w:ascii="Calibri" w:hAnsi="Calibri" w:cs="Calibri"/>
        </w:rPr>
        <w:t xml:space="preserve">. </w:t>
      </w:r>
    </w:p>
    <w:p w:rsidR="002B1371" w:rsidRPr="002436B1" w:rsidRDefault="002B1371" w:rsidP="002B1371">
      <w:pPr>
        <w:pStyle w:val="Corpsdetexte"/>
        <w:rPr>
          <w:rFonts w:ascii="Calibri" w:hAnsi="Calibri" w:cs="Calibri"/>
        </w:rPr>
      </w:pPr>
    </w:p>
    <w:p w:rsidR="002B1371" w:rsidRPr="002436B1" w:rsidRDefault="002B1371" w:rsidP="002B1371">
      <w:pPr>
        <w:pStyle w:val="Corpsdetexte"/>
        <w:rPr>
          <w:rFonts w:ascii="Calibri" w:hAnsi="Calibri" w:cs="Calibri"/>
        </w:rPr>
      </w:pPr>
      <w:r w:rsidRPr="002436B1">
        <w:rPr>
          <w:rFonts w:ascii="Calibri" w:hAnsi="Calibri" w:cs="Calibri"/>
        </w:rPr>
        <w:t>Le rapport porte dans un premier temps sur la conjoncture, avant de traiter de l’évolution des stratégies et organisations logistiques, de la gestion des emplois et des recrutements, des politiques de qualification, et se termine par une analyse des besoins en formation.</w:t>
      </w:r>
    </w:p>
    <w:p w:rsidR="002B1371" w:rsidRPr="002436B1" w:rsidRDefault="002B1371" w:rsidP="002B1371">
      <w:pPr>
        <w:rPr>
          <w:rFonts w:ascii="Calibri" w:hAnsi="Calibri" w:cs="Calibri"/>
          <w:sz w:val="22"/>
          <w:szCs w:val="22"/>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11478C" w:rsidRDefault="002B1371" w:rsidP="002B1371">
      <w:pPr>
        <w:numPr>
          <w:ilvl w:val="0"/>
          <w:numId w:val="8"/>
        </w:numPr>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436B1">
        <w:rPr>
          <w:rFonts w:ascii="Calibri" w:hAnsi="Calibri" w:cs="Calibri"/>
          <w:color w:val="800000"/>
          <w:sz w:val="36"/>
          <w:szCs w:val="36"/>
        </w:rPr>
        <w:br w:type="page"/>
      </w:r>
      <w:r w:rsidRPr="0011478C">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Conjoncture</w:t>
      </w:r>
    </w:p>
    <w:p w:rsidR="002B1371" w:rsidRPr="002436B1" w:rsidRDefault="002B1371" w:rsidP="002B1371">
      <w:pPr>
        <w:rPr>
          <w:rFonts w:ascii="Calibri" w:hAnsi="Calibri" w:cs="Calibri"/>
        </w:rPr>
      </w:pPr>
    </w:p>
    <w:p w:rsidR="002B1371" w:rsidRPr="00186C98" w:rsidRDefault="00C55606" w:rsidP="002B1371">
      <w:pPr>
        <w:rPr>
          <w:rFonts w:ascii="Arial Black" w:hAnsi="Arial Black" w:cs="Calibri"/>
          <w:b/>
          <w:bCs/>
          <w:color w:val="632423"/>
        </w:rPr>
      </w:pPr>
      <w:r>
        <w:rPr>
          <w:rFonts w:ascii="Arial Black" w:hAnsi="Arial Black" w:cs="Calibri"/>
          <w:b/>
          <w:bCs/>
          <w:color w:val="632423"/>
        </w:rPr>
        <w:t>2014, une année morose pour au moins un tiers des établissements de moins de 100 salariés</w:t>
      </w:r>
    </w:p>
    <w:p w:rsidR="002B1371" w:rsidRPr="002436B1" w:rsidRDefault="002B1371" w:rsidP="002B1371">
      <w:pPr>
        <w:rPr>
          <w:rFonts w:ascii="Calibri" w:hAnsi="Calibri" w:cs="Calibri"/>
          <w:color w:val="800000"/>
        </w:rPr>
      </w:pPr>
    </w:p>
    <w:p w:rsidR="002B1371" w:rsidRPr="00796F99" w:rsidRDefault="002B1371" w:rsidP="002B1371">
      <w:pPr>
        <w:jc w:val="center"/>
        <w:rPr>
          <w:rFonts w:ascii="Calibri" w:hAnsi="Calibri" w:cs="Calibri"/>
        </w:rPr>
      </w:pPr>
      <w:r w:rsidRPr="00796F99">
        <w:rPr>
          <w:rFonts w:ascii="Calibri" w:hAnsi="Calibri" w:cs="Calibri"/>
          <w:b/>
          <w:bCs/>
        </w:rPr>
        <w:t>Comportement de l’activité au cours de l’année 201</w:t>
      </w:r>
      <w:r w:rsidR="00B647C8">
        <w:rPr>
          <w:rFonts w:ascii="Calibri" w:hAnsi="Calibri" w:cs="Calibri"/>
          <w:b/>
          <w:bCs/>
        </w:rPr>
        <w:t>4</w:t>
      </w:r>
      <w:r w:rsidR="003C1232">
        <w:rPr>
          <w:rFonts w:ascii="Calibri" w:hAnsi="Calibri" w:cs="Calibri"/>
          <w:b/>
          <w:bCs/>
        </w:rPr>
        <w:t xml:space="preserve"> </w:t>
      </w:r>
      <w:r w:rsidRPr="00796F99">
        <w:rPr>
          <w:rFonts w:ascii="Calibri" w:hAnsi="Calibri" w:cs="Calibri"/>
          <w:b/>
          <w:bCs/>
        </w:rPr>
        <w:t xml:space="preserve">(en </w:t>
      </w:r>
      <w:r w:rsidR="003C1232">
        <w:rPr>
          <w:rFonts w:ascii="Calibri" w:hAnsi="Calibri" w:cs="Calibri"/>
          <w:b/>
          <w:bCs/>
        </w:rPr>
        <w:t>%</w:t>
      </w:r>
      <w:r w:rsidRPr="00796F99">
        <w:rPr>
          <w:rFonts w:ascii="Calibri" w:hAnsi="Calibri" w:cs="Calibri"/>
          <w:b/>
          <w:bCs/>
        </w:rPr>
        <w:t xml:space="preserve"> d’établissements)</w:t>
      </w:r>
    </w:p>
    <w:p w:rsidR="002B1371" w:rsidRPr="002436B1" w:rsidRDefault="002B1371" w:rsidP="002B1371">
      <w:pPr>
        <w:rPr>
          <w:rFonts w:ascii="Calibri" w:hAnsi="Calibri" w:cs="Calibri"/>
          <w:color w:val="800000"/>
          <w:highlight w:val="yellow"/>
        </w:rPr>
      </w:pPr>
    </w:p>
    <w:p w:rsidR="009E6EB4" w:rsidRPr="002436B1" w:rsidRDefault="009E6EB4" w:rsidP="009E6EB4">
      <w:pPr>
        <w:rPr>
          <w:rFonts w:ascii="Calibri" w:hAnsi="Calibri" w:cs="Calibri"/>
          <w:i/>
          <w:iCs/>
        </w:rPr>
      </w:pPr>
      <w:r>
        <w:rPr>
          <w:rFonts w:ascii="Calibri" w:hAnsi="Calibri" w:cs="Calibri"/>
          <w:i/>
          <w:iCs/>
        </w:rPr>
        <w:t xml:space="preserve">                                               </w:t>
      </w:r>
      <w:r w:rsidR="002B1371" w:rsidRPr="002436B1">
        <w:rPr>
          <w:rFonts w:ascii="Calibri" w:hAnsi="Calibri" w:cs="Calibri"/>
          <w:i/>
          <w:iCs/>
        </w:rPr>
        <w:t>Etablissements de 100 salariés et plus</w:t>
      </w:r>
      <w:r>
        <w:rPr>
          <w:rFonts w:ascii="Calibri" w:hAnsi="Calibri" w:cs="Calibri"/>
          <w:i/>
          <w:iCs/>
        </w:rPr>
        <w:t xml:space="preserve">                                               </w:t>
      </w:r>
      <w:r w:rsidRPr="009E6EB4">
        <w:rPr>
          <w:rFonts w:ascii="Calibri" w:hAnsi="Calibri" w:cs="Calibri"/>
          <w:i/>
          <w:iCs/>
        </w:rPr>
        <w:t xml:space="preserve"> </w:t>
      </w:r>
      <w:r w:rsidRPr="002436B1">
        <w:rPr>
          <w:rFonts w:ascii="Calibri" w:hAnsi="Calibri" w:cs="Calibri"/>
          <w:i/>
          <w:iCs/>
        </w:rPr>
        <w:t>Etablissements de 50 à 99 salariés</w:t>
      </w:r>
    </w:p>
    <w:p w:rsidR="002B1371" w:rsidRPr="002436B1" w:rsidRDefault="00FB379C" w:rsidP="00FB379C">
      <w:pPr>
        <w:rPr>
          <w:rFonts w:ascii="Calibri" w:hAnsi="Calibri" w:cs="Calibri"/>
          <w:i/>
          <w:iCs/>
        </w:rPr>
      </w:pPr>
      <w:r w:rsidRPr="00AC305B">
        <w:rPr>
          <w:rFonts w:ascii="Calibri" w:hAnsi="Calibri" w:cs="Calibri"/>
          <w:b/>
          <w:i/>
          <w:iCs/>
          <w:noProof/>
        </w:rPr>
        <w:drawing>
          <wp:inline distT="0" distB="0" distL="0" distR="0" wp14:anchorId="674E1DC6" wp14:editId="3AD91570">
            <wp:extent cx="4686300" cy="1066800"/>
            <wp:effectExtent l="0" t="0" r="19050" b="19050"/>
            <wp:docPr id="310" name="Graphique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430EB" w:rsidRPr="00AC305B">
        <w:rPr>
          <w:rFonts w:ascii="Calibri" w:hAnsi="Calibri" w:cs="Calibri"/>
          <w:b/>
          <w:i/>
          <w:iCs/>
          <w:noProof/>
        </w:rPr>
        <w:drawing>
          <wp:inline distT="0" distB="0" distL="0" distR="0" wp14:anchorId="351841BB" wp14:editId="7E9E66D1">
            <wp:extent cx="4686300" cy="1066800"/>
            <wp:effectExtent l="0" t="0" r="19050" b="19050"/>
            <wp:docPr id="311" name="Graphique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1371" w:rsidRPr="002436B1" w:rsidRDefault="000415D3" w:rsidP="002B1371">
      <w:pPr>
        <w:jc w:val="both"/>
        <w:rPr>
          <w:rFonts w:ascii="Calibri" w:hAnsi="Calibri" w:cs="Calibri"/>
        </w:rPr>
      </w:pPr>
      <w:r>
        <w:rPr>
          <w:rFonts w:ascii="Calibri" w:hAnsi="Calibri" w:cs="Calibri"/>
        </w:rPr>
        <w:t>L</w:t>
      </w:r>
      <w:r w:rsidR="002B1371" w:rsidRPr="002436B1">
        <w:rPr>
          <w:rFonts w:ascii="Calibri" w:hAnsi="Calibri" w:cs="Calibri"/>
        </w:rPr>
        <w:t xml:space="preserve">es </w:t>
      </w:r>
      <w:r w:rsidR="003C7483">
        <w:rPr>
          <w:rFonts w:ascii="Calibri" w:hAnsi="Calibri" w:cs="Calibri"/>
        </w:rPr>
        <w:t xml:space="preserve">personnes interrogées sont moins nombreuses </w:t>
      </w:r>
      <w:r w:rsidR="00EF4743">
        <w:rPr>
          <w:rFonts w:ascii="Calibri" w:hAnsi="Calibri" w:cs="Calibri"/>
        </w:rPr>
        <w:t xml:space="preserve">qu’en 2013 </w:t>
      </w:r>
      <w:r w:rsidR="003C7483">
        <w:rPr>
          <w:rFonts w:ascii="Calibri" w:hAnsi="Calibri" w:cs="Calibri"/>
        </w:rPr>
        <w:t>à constater en 2014 une augmentation de l’activité de leur établissement. Cette tendance est particulièrement marquée dans les établissements de moins de 100 salariés</w:t>
      </w:r>
      <w:r w:rsidR="00C55606">
        <w:rPr>
          <w:rFonts w:ascii="Calibri" w:hAnsi="Calibri" w:cs="Calibri"/>
        </w:rPr>
        <w:t>,</w:t>
      </w:r>
      <w:r w:rsidR="003C7483">
        <w:rPr>
          <w:rFonts w:ascii="Calibri" w:hAnsi="Calibri" w:cs="Calibri"/>
        </w:rPr>
        <w:t xml:space="preserve"> dont le nombre ayant connu une </w:t>
      </w:r>
      <w:r w:rsidR="00190A5C">
        <w:rPr>
          <w:rFonts w:ascii="Calibri" w:hAnsi="Calibri" w:cs="Calibri"/>
        </w:rPr>
        <w:t>dégradation</w:t>
      </w:r>
      <w:r w:rsidR="003C7483">
        <w:rPr>
          <w:rFonts w:ascii="Calibri" w:hAnsi="Calibri" w:cs="Calibri"/>
        </w:rPr>
        <w:t xml:space="preserve"> </w:t>
      </w:r>
      <w:r w:rsidR="00190A5C">
        <w:rPr>
          <w:rFonts w:ascii="Calibri" w:hAnsi="Calibri" w:cs="Calibri"/>
        </w:rPr>
        <w:t xml:space="preserve">de leur </w:t>
      </w:r>
      <w:r w:rsidR="003C7483">
        <w:rPr>
          <w:rFonts w:ascii="Calibri" w:hAnsi="Calibri" w:cs="Calibri"/>
        </w:rPr>
        <w:t>activité (un tiers des établissements dans ce cas) est devenu supérieur à celui ayant connu une augmentation de l’activité (un quart des établissements)</w:t>
      </w:r>
      <w:r w:rsidR="002B1371" w:rsidRPr="002436B1">
        <w:rPr>
          <w:rFonts w:ascii="Calibri" w:hAnsi="Calibri" w:cs="Calibri"/>
        </w:rPr>
        <w:t xml:space="preserve">. </w:t>
      </w:r>
    </w:p>
    <w:p w:rsidR="002B1371" w:rsidRPr="002436B1" w:rsidRDefault="002B1371" w:rsidP="002B1371">
      <w:pPr>
        <w:jc w:val="both"/>
        <w:rPr>
          <w:rFonts w:ascii="Calibri" w:hAnsi="Calibri" w:cs="Calibri"/>
        </w:rPr>
      </w:pPr>
    </w:p>
    <w:p w:rsidR="002B1371" w:rsidRPr="00186C98" w:rsidRDefault="007B0410" w:rsidP="002B1371">
      <w:pPr>
        <w:rPr>
          <w:rFonts w:ascii="Arial Black" w:hAnsi="Arial Black" w:cs="Calibri"/>
          <w:b/>
          <w:bCs/>
          <w:color w:val="632423"/>
        </w:rPr>
      </w:pPr>
      <w:r>
        <w:rPr>
          <w:rFonts w:ascii="Arial Black" w:hAnsi="Arial Black" w:cs="Calibri"/>
          <w:b/>
          <w:bCs/>
          <w:color w:val="632423"/>
        </w:rPr>
        <w:t>Industrie et commerce formulent des</w:t>
      </w:r>
      <w:r w:rsidR="00C55606">
        <w:rPr>
          <w:rFonts w:ascii="Arial Black" w:hAnsi="Arial Black" w:cs="Calibri"/>
          <w:b/>
          <w:bCs/>
          <w:color w:val="632423"/>
        </w:rPr>
        <w:t xml:space="preserve"> prévisions de </w:t>
      </w:r>
      <w:r w:rsidR="002B1371" w:rsidRPr="00186C98">
        <w:rPr>
          <w:rFonts w:ascii="Arial Black" w:hAnsi="Arial Black" w:cs="Calibri"/>
          <w:b/>
          <w:bCs/>
          <w:color w:val="632423"/>
        </w:rPr>
        <w:t xml:space="preserve">croissance de l’activité logistique </w:t>
      </w:r>
      <w:r w:rsidR="00C55606">
        <w:rPr>
          <w:rFonts w:ascii="Arial Black" w:hAnsi="Arial Black" w:cs="Calibri"/>
          <w:b/>
          <w:bCs/>
          <w:color w:val="632423"/>
        </w:rPr>
        <w:t>en</w:t>
      </w:r>
      <w:r w:rsidR="002B1371" w:rsidRPr="00186C98">
        <w:rPr>
          <w:rFonts w:ascii="Arial Black" w:hAnsi="Arial Black" w:cs="Calibri"/>
          <w:b/>
          <w:bCs/>
          <w:color w:val="632423"/>
        </w:rPr>
        <w:t xml:space="preserve"> 201</w:t>
      </w:r>
      <w:r w:rsidR="00C55606">
        <w:rPr>
          <w:rFonts w:ascii="Arial Black" w:hAnsi="Arial Black" w:cs="Calibri"/>
          <w:b/>
          <w:bCs/>
          <w:color w:val="632423"/>
        </w:rPr>
        <w:t>5</w:t>
      </w:r>
      <w:r w:rsidR="002B1371" w:rsidRPr="00186C98">
        <w:rPr>
          <w:rFonts w:ascii="Arial Black" w:hAnsi="Arial Black" w:cs="Calibri"/>
          <w:b/>
          <w:bCs/>
          <w:color w:val="632423"/>
        </w:rPr>
        <w:t xml:space="preserve"> </w:t>
      </w:r>
      <w:r w:rsidR="00C55606">
        <w:rPr>
          <w:rFonts w:ascii="Arial Black" w:hAnsi="Arial Black" w:cs="Calibri"/>
          <w:b/>
          <w:bCs/>
          <w:color w:val="632423"/>
        </w:rPr>
        <w:t>bien orientées</w:t>
      </w:r>
      <w:r w:rsidR="00833F29">
        <w:rPr>
          <w:rFonts w:ascii="Arial Black" w:hAnsi="Arial Black" w:cs="Calibri"/>
          <w:b/>
          <w:bCs/>
          <w:color w:val="632423"/>
        </w:rPr>
        <w:t>…</w:t>
      </w:r>
    </w:p>
    <w:p w:rsidR="002B1371" w:rsidRPr="002436B1" w:rsidRDefault="002B1371" w:rsidP="002B1371">
      <w:pPr>
        <w:jc w:val="both"/>
        <w:rPr>
          <w:rFonts w:ascii="Calibri" w:hAnsi="Calibri" w:cs="Calibri"/>
        </w:rPr>
      </w:pPr>
    </w:p>
    <w:p w:rsidR="002B1371" w:rsidRPr="00796F99" w:rsidRDefault="002B1371" w:rsidP="002B1371">
      <w:pPr>
        <w:jc w:val="center"/>
        <w:rPr>
          <w:rFonts w:ascii="Calibri" w:hAnsi="Calibri" w:cs="Calibri"/>
          <w:b/>
          <w:bCs/>
        </w:rPr>
      </w:pPr>
      <w:r w:rsidRPr="00796F99">
        <w:rPr>
          <w:rFonts w:ascii="Calibri" w:hAnsi="Calibri" w:cs="Calibri"/>
          <w:b/>
          <w:bCs/>
        </w:rPr>
        <w:t>Evolution prévue de l’activité logistique en 201</w:t>
      </w:r>
      <w:r w:rsidR="00721E7B">
        <w:rPr>
          <w:rFonts w:ascii="Calibri" w:hAnsi="Calibri" w:cs="Calibri"/>
          <w:b/>
          <w:bCs/>
        </w:rPr>
        <w:t>5</w:t>
      </w:r>
      <w:r w:rsidR="003C1232">
        <w:rPr>
          <w:rFonts w:ascii="Calibri" w:hAnsi="Calibri" w:cs="Calibri"/>
          <w:b/>
          <w:bCs/>
        </w:rPr>
        <w:t xml:space="preserve"> </w:t>
      </w:r>
      <w:r w:rsidRPr="00796F99">
        <w:rPr>
          <w:rFonts w:ascii="Calibri" w:hAnsi="Calibri" w:cs="Calibri"/>
          <w:b/>
          <w:bCs/>
        </w:rPr>
        <w:t xml:space="preserve">(en </w:t>
      </w:r>
      <w:r w:rsidR="003C1232">
        <w:rPr>
          <w:rFonts w:ascii="Calibri" w:hAnsi="Calibri" w:cs="Calibri"/>
          <w:b/>
          <w:bCs/>
        </w:rPr>
        <w:t>%</w:t>
      </w:r>
      <w:r w:rsidRPr="00796F99">
        <w:rPr>
          <w:rFonts w:ascii="Calibri" w:hAnsi="Calibri" w:cs="Calibri"/>
          <w:b/>
          <w:bCs/>
        </w:rPr>
        <w:t xml:space="preserve"> d’établissements industriels et commerciaux)</w:t>
      </w:r>
    </w:p>
    <w:p w:rsidR="002B1371" w:rsidRPr="002436B1" w:rsidRDefault="002B1371" w:rsidP="002B1371">
      <w:pPr>
        <w:jc w:val="center"/>
        <w:rPr>
          <w:rFonts w:ascii="Calibri" w:hAnsi="Calibri" w:cs="Calibri"/>
        </w:rPr>
      </w:pPr>
    </w:p>
    <w:p w:rsidR="00091EC3" w:rsidRPr="002436B1" w:rsidRDefault="00091EC3" w:rsidP="00091EC3">
      <w:pPr>
        <w:rPr>
          <w:rFonts w:ascii="Calibri" w:hAnsi="Calibri" w:cs="Calibri"/>
          <w:i/>
          <w:iCs/>
        </w:rPr>
      </w:pPr>
      <w:r>
        <w:rPr>
          <w:rFonts w:ascii="Calibri" w:hAnsi="Calibri" w:cs="Calibri"/>
          <w:i/>
          <w:iCs/>
        </w:rPr>
        <w:t xml:space="preserve">                                               </w:t>
      </w:r>
      <w:r w:rsidRPr="002436B1">
        <w:rPr>
          <w:rFonts w:ascii="Calibri" w:hAnsi="Calibri" w:cs="Calibri"/>
          <w:i/>
          <w:iCs/>
        </w:rPr>
        <w:t>Etablissements de 100 salariés et plus</w:t>
      </w:r>
      <w:r>
        <w:rPr>
          <w:rFonts w:ascii="Calibri" w:hAnsi="Calibri" w:cs="Calibri"/>
          <w:i/>
          <w:iCs/>
        </w:rPr>
        <w:t xml:space="preserve">                                               </w:t>
      </w:r>
      <w:r w:rsidRPr="009E6EB4">
        <w:rPr>
          <w:rFonts w:ascii="Calibri" w:hAnsi="Calibri" w:cs="Calibri"/>
          <w:i/>
          <w:iCs/>
        </w:rPr>
        <w:t xml:space="preserve"> </w:t>
      </w:r>
      <w:r w:rsidRPr="002436B1">
        <w:rPr>
          <w:rFonts w:ascii="Calibri" w:hAnsi="Calibri" w:cs="Calibri"/>
          <w:i/>
          <w:iCs/>
        </w:rPr>
        <w:t>Etablissements de 50 à 99 salariés</w:t>
      </w:r>
    </w:p>
    <w:p w:rsidR="002B1371" w:rsidRPr="002436B1" w:rsidRDefault="00AD6615" w:rsidP="003C1232">
      <w:pPr>
        <w:ind w:left="180"/>
        <w:rPr>
          <w:rFonts w:ascii="Calibri" w:hAnsi="Calibri" w:cs="Calibri"/>
          <w:i/>
          <w:iCs/>
        </w:rPr>
      </w:pPr>
      <w:r>
        <w:rPr>
          <w:rFonts w:ascii="Calibri" w:hAnsi="Calibri" w:cs="Calibri"/>
          <w:i/>
          <w:iCs/>
          <w:noProof/>
        </w:rPr>
        <w:drawing>
          <wp:inline distT="0" distB="0" distL="0" distR="0" wp14:anchorId="1DDB4F7F" wp14:editId="01858073">
            <wp:extent cx="4589253" cy="1759789"/>
            <wp:effectExtent l="0" t="0" r="20955" b="12065"/>
            <wp:docPr id="5" name="Obje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6521D9">
        <w:rPr>
          <w:rFonts w:ascii="Calibri" w:hAnsi="Calibri" w:cs="Calibri"/>
          <w:i/>
          <w:iCs/>
        </w:rPr>
        <w:t xml:space="preserve"> </w:t>
      </w:r>
      <w:r w:rsidR="006521D9">
        <w:rPr>
          <w:rFonts w:ascii="Calibri" w:hAnsi="Calibri" w:cs="Calibri"/>
          <w:i/>
          <w:iCs/>
          <w:noProof/>
        </w:rPr>
        <w:drawing>
          <wp:inline distT="0" distB="0" distL="0" distR="0" wp14:anchorId="799D6FED" wp14:editId="27DBC120">
            <wp:extent cx="4589252" cy="1759789"/>
            <wp:effectExtent l="0" t="0" r="20955" b="12065"/>
            <wp:docPr id="45" name="Obje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2B2A" w:rsidRDefault="00442B2A" w:rsidP="002B1371">
      <w:pPr>
        <w:jc w:val="both"/>
        <w:rPr>
          <w:rFonts w:ascii="Calibri" w:hAnsi="Calibri" w:cs="Calibri"/>
        </w:rPr>
      </w:pPr>
    </w:p>
    <w:p w:rsidR="002B1371" w:rsidRPr="002436B1" w:rsidRDefault="002B1371" w:rsidP="002B1371">
      <w:pPr>
        <w:jc w:val="both"/>
        <w:rPr>
          <w:rFonts w:ascii="Calibri" w:hAnsi="Calibri" w:cs="Calibri"/>
        </w:rPr>
      </w:pPr>
      <w:r w:rsidRPr="002436B1">
        <w:rPr>
          <w:rFonts w:ascii="Calibri" w:hAnsi="Calibri" w:cs="Calibri"/>
        </w:rPr>
        <w:lastRenderedPageBreak/>
        <w:t xml:space="preserve">Les établissements industriels et commerciaux sont </w:t>
      </w:r>
      <w:r w:rsidR="00C94CDA">
        <w:rPr>
          <w:rFonts w:ascii="Calibri" w:hAnsi="Calibri" w:cs="Calibri"/>
        </w:rPr>
        <w:t>trois</w:t>
      </w:r>
      <w:r w:rsidRPr="002436B1">
        <w:rPr>
          <w:rFonts w:ascii="Calibri" w:hAnsi="Calibri" w:cs="Calibri"/>
        </w:rPr>
        <w:t xml:space="preserve"> plus nombreux à </w:t>
      </w:r>
      <w:r w:rsidR="00C94CDA">
        <w:rPr>
          <w:rFonts w:ascii="Calibri" w:hAnsi="Calibri" w:cs="Calibri"/>
        </w:rPr>
        <w:t>anticiper</w:t>
      </w:r>
      <w:r w:rsidRPr="002436B1">
        <w:rPr>
          <w:rFonts w:ascii="Calibri" w:hAnsi="Calibri" w:cs="Calibri"/>
        </w:rPr>
        <w:t xml:space="preserve"> une </w:t>
      </w:r>
      <w:r w:rsidR="00C94CDA">
        <w:rPr>
          <w:rFonts w:ascii="Calibri" w:hAnsi="Calibri" w:cs="Calibri"/>
        </w:rPr>
        <w:t>progression</w:t>
      </w:r>
      <w:r w:rsidRPr="002436B1">
        <w:rPr>
          <w:rFonts w:ascii="Calibri" w:hAnsi="Calibri" w:cs="Calibri"/>
        </w:rPr>
        <w:t xml:space="preserve"> de leur activité logistique en 201</w:t>
      </w:r>
      <w:r w:rsidR="00C94CDA">
        <w:rPr>
          <w:rFonts w:ascii="Calibri" w:hAnsi="Calibri" w:cs="Calibri"/>
        </w:rPr>
        <w:t>5</w:t>
      </w:r>
      <w:r w:rsidRPr="002436B1">
        <w:rPr>
          <w:rFonts w:ascii="Calibri" w:hAnsi="Calibri" w:cs="Calibri"/>
        </w:rPr>
        <w:t xml:space="preserve"> </w:t>
      </w:r>
      <w:r w:rsidR="00C94CDA" w:rsidRPr="002436B1">
        <w:rPr>
          <w:rFonts w:ascii="Calibri" w:hAnsi="Calibri" w:cs="Calibri"/>
        </w:rPr>
        <w:t>que le contraire</w:t>
      </w:r>
      <w:r w:rsidRPr="002436B1">
        <w:rPr>
          <w:rFonts w:ascii="Calibri" w:hAnsi="Calibri" w:cs="Calibri"/>
        </w:rPr>
        <w:t xml:space="preserve">. </w:t>
      </w:r>
    </w:p>
    <w:p w:rsidR="002B1371" w:rsidRPr="002436B1" w:rsidRDefault="002B1371" w:rsidP="002B1371">
      <w:pPr>
        <w:jc w:val="both"/>
        <w:rPr>
          <w:rFonts w:ascii="Calibri" w:hAnsi="Calibri" w:cs="Calibri"/>
        </w:rPr>
      </w:pPr>
    </w:p>
    <w:p w:rsidR="00C00DD3" w:rsidRPr="002436B1" w:rsidRDefault="00377D36" w:rsidP="00C00DD3">
      <w:pPr>
        <w:jc w:val="both"/>
        <w:rPr>
          <w:rFonts w:ascii="Calibri" w:hAnsi="Calibri" w:cs="Calibri"/>
        </w:rPr>
      </w:pPr>
      <w:r>
        <w:rPr>
          <w:rFonts w:ascii="Calibri" w:hAnsi="Calibri" w:cs="Calibri"/>
        </w:rPr>
        <w:t>D</w:t>
      </w:r>
      <w:r w:rsidRPr="002436B1">
        <w:rPr>
          <w:rFonts w:ascii="Calibri" w:hAnsi="Calibri" w:cs="Calibri"/>
        </w:rPr>
        <w:t>ans l’industrie agro-alimentaire</w:t>
      </w:r>
      <w:r w:rsidRPr="00377D36">
        <w:rPr>
          <w:rFonts w:ascii="Calibri" w:hAnsi="Calibri" w:cs="Calibri"/>
        </w:rPr>
        <w:t xml:space="preserve"> </w:t>
      </w:r>
      <w:r>
        <w:rPr>
          <w:rFonts w:ascii="Calibri" w:hAnsi="Calibri" w:cs="Calibri"/>
        </w:rPr>
        <w:t xml:space="preserve">tout </w:t>
      </w:r>
      <w:r w:rsidRPr="002436B1">
        <w:rPr>
          <w:rFonts w:ascii="Calibri" w:hAnsi="Calibri" w:cs="Calibri"/>
        </w:rPr>
        <w:t>particulièrement</w:t>
      </w:r>
      <w:r>
        <w:rPr>
          <w:rFonts w:ascii="Calibri" w:hAnsi="Calibri" w:cs="Calibri"/>
        </w:rPr>
        <w:t xml:space="preserve">, les anticipations sont </w:t>
      </w:r>
      <w:r w:rsidRPr="002436B1">
        <w:rPr>
          <w:rFonts w:ascii="Calibri" w:hAnsi="Calibri" w:cs="Calibri"/>
        </w:rPr>
        <w:t>bien orientées</w:t>
      </w:r>
      <w:r>
        <w:rPr>
          <w:rFonts w:ascii="Calibri" w:hAnsi="Calibri" w:cs="Calibri"/>
        </w:rPr>
        <w:t>, avec près de la moitié des établissements prévoyant une croissance de l’activité logistique, contre seulement 2% s’attendant à une contraction de cette activité.</w:t>
      </w:r>
      <w:r w:rsidRPr="002436B1">
        <w:rPr>
          <w:rFonts w:ascii="Calibri" w:hAnsi="Calibri" w:cs="Calibri"/>
        </w:rPr>
        <w:t xml:space="preserve"> </w:t>
      </w:r>
    </w:p>
    <w:p w:rsidR="002B1371" w:rsidRPr="002436B1" w:rsidRDefault="002B1371" w:rsidP="002B1371">
      <w:pPr>
        <w:jc w:val="both"/>
        <w:rPr>
          <w:rFonts w:ascii="Calibri" w:hAnsi="Calibri" w:cs="Calibri"/>
        </w:rPr>
      </w:pPr>
    </w:p>
    <w:p w:rsidR="003C1232" w:rsidRDefault="003C1232" w:rsidP="002B1371">
      <w:pPr>
        <w:rPr>
          <w:rFonts w:ascii="Calibri" w:hAnsi="Calibri" w:cs="Calibri"/>
          <w:b/>
          <w:color w:val="984806"/>
          <w:sz w:val="28"/>
          <w:szCs w:val="28"/>
        </w:rPr>
      </w:pPr>
    </w:p>
    <w:p w:rsidR="002B1371" w:rsidRPr="00186C98" w:rsidRDefault="00833F29" w:rsidP="002B1371">
      <w:pPr>
        <w:rPr>
          <w:rFonts w:ascii="Arial Black" w:hAnsi="Arial Black" w:cs="Calibri"/>
          <w:b/>
          <w:bCs/>
          <w:color w:val="632423"/>
        </w:rPr>
      </w:pPr>
      <w:r>
        <w:rPr>
          <w:rFonts w:ascii="Arial Black" w:hAnsi="Arial Black" w:cs="Calibri"/>
          <w:b/>
          <w:bCs/>
          <w:color w:val="632423"/>
        </w:rPr>
        <w:t>… mais l</w:t>
      </w:r>
      <w:r w:rsidR="002B1371" w:rsidRPr="00186C98">
        <w:rPr>
          <w:rFonts w:ascii="Arial Black" w:hAnsi="Arial Black" w:cs="Calibri"/>
          <w:b/>
          <w:bCs/>
          <w:color w:val="632423"/>
        </w:rPr>
        <w:t xml:space="preserve">es prestataires transport-logistique </w:t>
      </w:r>
      <w:r w:rsidR="007B0410">
        <w:rPr>
          <w:rFonts w:ascii="Arial Black" w:hAnsi="Arial Black" w:cs="Calibri"/>
          <w:b/>
          <w:bCs/>
          <w:color w:val="632423"/>
        </w:rPr>
        <w:t>ne semblent pas aussi optimistes</w:t>
      </w:r>
    </w:p>
    <w:p w:rsidR="002B1371" w:rsidRPr="002436B1" w:rsidRDefault="002B1371" w:rsidP="002B1371">
      <w:pPr>
        <w:rPr>
          <w:rFonts w:ascii="Calibri" w:hAnsi="Calibri" w:cs="Calibri"/>
          <w:color w:val="4F6228"/>
          <w:sz w:val="28"/>
          <w:szCs w:val="28"/>
        </w:rPr>
      </w:pPr>
    </w:p>
    <w:p w:rsidR="002B1371" w:rsidRPr="002436B1" w:rsidRDefault="002B1371" w:rsidP="002B1371">
      <w:pPr>
        <w:jc w:val="center"/>
        <w:rPr>
          <w:rFonts w:ascii="Calibri" w:hAnsi="Calibri" w:cs="Calibri"/>
          <w:b/>
          <w:bCs/>
        </w:rPr>
      </w:pPr>
      <w:r w:rsidRPr="002436B1">
        <w:rPr>
          <w:rFonts w:ascii="Calibri" w:hAnsi="Calibri" w:cs="Calibri"/>
          <w:b/>
          <w:bCs/>
        </w:rPr>
        <w:t>Evolution prévue de la demande en prestations logistiques en 201</w:t>
      </w:r>
      <w:r w:rsidR="00833F29">
        <w:rPr>
          <w:rFonts w:ascii="Calibri" w:hAnsi="Calibri" w:cs="Calibri"/>
          <w:b/>
          <w:bCs/>
        </w:rPr>
        <w:t>5</w:t>
      </w:r>
      <w:r w:rsidR="00091EC3">
        <w:rPr>
          <w:rFonts w:ascii="Calibri" w:hAnsi="Calibri" w:cs="Calibri"/>
          <w:b/>
          <w:bCs/>
        </w:rPr>
        <w:t xml:space="preserve"> </w:t>
      </w:r>
      <w:r w:rsidRPr="002436B1">
        <w:rPr>
          <w:rFonts w:ascii="Calibri" w:hAnsi="Calibri" w:cs="Calibri"/>
          <w:b/>
          <w:bCs/>
        </w:rPr>
        <w:t xml:space="preserve">(en </w:t>
      </w:r>
      <w:r w:rsidR="00091EC3">
        <w:rPr>
          <w:rFonts w:ascii="Calibri" w:hAnsi="Calibri" w:cs="Calibri"/>
          <w:b/>
          <w:bCs/>
        </w:rPr>
        <w:t>%</w:t>
      </w:r>
      <w:r w:rsidRPr="002436B1">
        <w:rPr>
          <w:rFonts w:ascii="Calibri" w:hAnsi="Calibri" w:cs="Calibri"/>
          <w:b/>
          <w:bCs/>
        </w:rPr>
        <w:t xml:space="preserve"> d’établissements du secteur transport-logistique)</w:t>
      </w:r>
    </w:p>
    <w:p w:rsidR="002B1371" w:rsidRPr="002436B1" w:rsidRDefault="002B1371" w:rsidP="002B1371">
      <w:pPr>
        <w:rPr>
          <w:rFonts w:ascii="Calibri" w:hAnsi="Calibri" w:cs="Calibri"/>
        </w:rPr>
      </w:pPr>
    </w:p>
    <w:p w:rsidR="002B1371" w:rsidRPr="002436B1" w:rsidRDefault="002B1371" w:rsidP="002B1371">
      <w:pPr>
        <w:tabs>
          <w:tab w:val="left" w:pos="5760"/>
        </w:tabs>
        <w:rPr>
          <w:rFonts w:ascii="Calibri" w:hAnsi="Calibri" w:cs="Calibri"/>
          <w:i/>
          <w:iCs/>
        </w:rPr>
      </w:pPr>
      <w:r w:rsidRPr="002436B1">
        <w:rPr>
          <w:rFonts w:ascii="Calibri" w:hAnsi="Calibri" w:cs="Calibri"/>
          <w:i/>
          <w:iCs/>
        </w:rPr>
        <w:t xml:space="preserve">            Etablissements de 100 salariés et plus</w:t>
      </w:r>
      <w:r w:rsidRPr="002436B1">
        <w:rPr>
          <w:rFonts w:ascii="Calibri" w:hAnsi="Calibri" w:cs="Calibri"/>
          <w:i/>
          <w:iCs/>
        </w:rPr>
        <w:tab/>
      </w:r>
      <w:r w:rsidR="00214D58">
        <w:rPr>
          <w:rFonts w:ascii="Calibri" w:hAnsi="Calibri" w:cs="Calibri"/>
          <w:i/>
          <w:iCs/>
        </w:rPr>
        <w:t xml:space="preserve">                                            </w:t>
      </w:r>
      <w:r w:rsidRPr="002436B1">
        <w:rPr>
          <w:rFonts w:ascii="Calibri" w:hAnsi="Calibri" w:cs="Calibri"/>
          <w:i/>
          <w:iCs/>
        </w:rPr>
        <w:t>Etablissements de 50 à 99 salariés</w:t>
      </w:r>
    </w:p>
    <w:p w:rsidR="002B1371" w:rsidRPr="002436B1" w:rsidRDefault="00AD6615" w:rsidP="002B1371">
      <w:pPr>
        <w:rPr>
          <w:rFonts w:ascii="Calibri" w:hAnsi="Calibri" w:cs="Calibri"/>
        </w:rPr>
      </w:pPr>
      <w:r>
        <w:rPr>
          <w:rFonts w:ascii="Calibri" w:hAnsi="Calibri" w:cs="Calibri"/>
          <w:noProof/>
        </w:rPr>
        <w:drawing>
          <wp:inline distT="0" distB="0" distL="0" distR="0" wp14:anchorId="348CA864" wp14:editId="1324CDE9">
            <wp:extent cx="3962400" cy="2695575"/>
            <wp:effectExtent l="0" t="0" r="19050" b="9525"/>
            <wp:docPr id="7"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14D58">
        <w:rPr>
          <w:rFonts w:ascii="Calibri" w:hAnsi="Calibri" w:cs="Calibri"/>
        </w:rPr>
        <w:t xml:space="preserve">                                  </w:t>
      </w:r>
      <w:r>
        <w:rPr>
          <w:rFonts w:ascii="Calibri" w:hAnsi="Calibri" w:cs="Calibri"/>
          <w:noProof/>
        </w:rPr>
        <w:drawing>
          <wp:inline distT="0" distB="0" distL="0" distR="0" wp14:anchorId="05FC255C" wp14:editId="3531F95D">
            <wp:extent cx="3829050" cy="2752725"/>
            <wp:effectExtent l="0" t="0" r="19050" b="9525"/>
            <wp:docPr id="8" name="Obje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4846" w:rsidRDefault="00944846" w:rsidP="002B1371">
      <w:pPr>
        <w:jc w:val="both"/>
        <w:rPr>
          <w:rFonts w:ascii="Calibri" w:hAnsi="Calibri" w:cs="Calibri"/>
        </w:rPr>
      </w:pPr>
      <w:r>
        <w:rPr>
          <w:rFonts w:ascii="Calibri" w:hAnsi="Calibri" w:cs="Calibri"/>
        </w:rPr>
        <w:t xml:space="preserve">Moins d’un prestataire transport-logistique sur cinq anticipe un </w:t>
      </w:r>
      <w:r w:rsidR="00190A5C">
        <w:rPr>
          <w:rFonts w:ascii="Calibri" w:hAnsi="Calibri" w:cs="Calibri"/>
        </w:rPr>
        <w:t>accroissement</w:t>
      </w:r>
      <w:r>
        <w:rPr>
          <w:rFonts w:ascii="Calibri" w:hAnsi="Calibri" w:cs="Calibri"/>
        </w:rPr>
        <w:t xml:space="preserve"> de la demande en prestations logistiques en 2015.</w:t>
      </w:r>
    </w:p>
    <w:p w:rsidR="009B0F16" w:rsidRDefault="009B0F16" w:rsidP="002B1371">
      <w:pPr>
        <w:jc w:val="both"/>
        <w:rPr>
          <w:rFonts w:ascii="Calibri" w:hAnsi="Calibri" w:cs="Calibri"/>
        </w:rPr>
      </w:pPr>
    </w:p>
    <w:p w:rsidR="002B1371" w:rsidRPr="002436B1" w:rsidRDefault="009B0F16" w:rsidP="002B1371">
      <w:pPr>
        <w:jc w:val="both"/>
        <w:rPr>
          <w:rFonts w:ascii="Calibri" w:hAnsi="Calibri" w:cs="Calibri"/>
        </w:rPr>
      </w:pPr>
      <w:r>
        <w:rPr>
          <w:rFonts w:ascii="Calibri" w:hAnsi="Calibri" w:cs="Calibri"/>
        </w:rPr>
        <w:t xml:space="preserve">Les établissements de moins de 100 salariés sont même plus nombreux (21%) à anticiper une baisse de la demande qui leur sera adressée qu’une hausse (19%). </w:t>
      </w:r>
    </w:p>
    <w:p w:rsidR="002B1371" w:rsidRPr="002436B1" w:rsidRDefault="002B1371" w:rsidP="002B1371">
      <w:pPr>
        <w:jc w:val="both"/>
        <w:rPr>
          <w:rFonts w:ascii="Calibri" w:hAnsi="Calibri" w:cs="Calibri"/>
        </w:rPr>
      </w:pPr>
    </w:p>
    <w:p w:rsidR="00833F29" w:rsidRDefault="00833F29">
      <w:pPr>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2B1371" w:rsidRPr="0011478C" w:rsidRDefault="002B1371" w:rsidP="002B1371">
      <w:pPr>
        <w:numPr>
          <w:ilvl w:val="0"/>
          <w:numId w:val="8"/>
        </w:numPr>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1478C">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Stratégies et organisation</w:t>
      </w:r>
    </w:p>
    <w:p w:rsidR="002B1371" w:rsidRPr="002436B1" w:rsidRDefault="002B1371" w:rsidP="002B1371">
      <w:pPr>
        <w:rPr>
          <w:rFonts w:ascii="Calibri" w:hAnsi="Calibri" w:cs="Calibri"/>
          <w:b/>
          <w:color w:val="4F6228"/>
          <w:sz w:val="32"/>
          <w:szCs w:val="32"/>
        </w:rPr>
      </w:pPr>
    </w:p>
    <w:p w:rsidR="002B1371" w:rsidRPr="0011478C" w:rsidRDefault="002B1371" w:rsidP="002B1371">
      <w:pPr>
        <w:numPr>
          <w:ilvl w:val="1"/>
          <w:numId w:val="8"/>
        </w:numPr>
        <w:rPr>
          <w:rFonts w:ascii="Calibri" w:hAnsi="Calibri" w:cs="Calibri"/>
          <w:b/>
          <w:color w:val="984806" w:themeColor="accent6" w:themeShade="80"/>
          <w:sz w:val="32"/>
          <w:szCs w:val="32"/>
        </w:rPr>
      </w:pPr>
      <w:r w:rsidRPr="0011478C">
        <w:rPr>
          <w:rFonts w:ascii="Calibri" w:hAnsi="Calibri" w:cs="Calibri"/>
          <w:b/>
          <w:color w:val="984806" w:themeColor="accent6" w:themeShade="80"/>
          <w:sz w:val="32"/>
          <w:szCs w:val="32"/>
        </w:rPr>
        <w:t>Facteurs d’évolution</w:t>
      </w:r>
    </w:p>
    <w:p w:rsidR="002B1371" w:rsidRPr="002436B1" w:rsidRDefault="002B1371" w:rsidP="002B1371">
      <w:pPr>
        <w:rPr>
          <w:rFonts w:ascii="Calibri" w:hAnsi="Calibri" w:cs="Calibri"/>
          <w:color w:val="4F6228"/>
        </w:rPr>
      </w:pPr>
    </w:p>
    <w:p w:rsidR="002B1371" w:rsidRPr="00186C98" w:rsidRDefault="002B1371" w:rsidP="002B1371">
      <w:pPr>
        <w:rPr>
          <w:rFonts w:ascii="Arial Black" w:hAnsi="Arial Black" w:cs="Calibri"/>
          <w:b/>
          <w:bCs/>
          <w:color w:val="632423"/>
        </w:rPr>
      </w:pPr>
      <w:r w:rsidRPr="00186C98">
        <w:rPr>
          <w:rFonts w:ascii="Arial Black" w:hAnsi="Arial Black" w:cs="Calibri"/>
          <w:b/>
          <w:bCs/>
          <w:color w:val="632423"/>
        </w:rPr>
        <w:t xml:space="preserve">Les </w:t>
      </w:r>
      <w:r w:rsidR="00E72712">
        <w:rPr>
          <w:rFonts w:ascii="Arial Black" w:hAnsi="Arial Black" w:cs="Calibri"/>
          <w:b/>
          <w:bCs/>
          <w:color w:val="632423"/>
        </w:rPr>
        <w:t xml:space="preserve">professionnels s’organisent progressivement en vue d’afficher leurs </w:t>
      </w:r>
      <w:r w:rsidRPr="00186C98">
        <w:rPr>
          <w:rFonts w:ascii="Arial Black" w:hAnsi="Arial Black" w:cs="Calibri"/>
          <w:b/>
          <w:bCs/>
          <w:color w:val="632423"/>
        </w:rPr>
        <w:t>émissions de CO</w:t>
      </w:r>
      <w:r w:rsidRPr="00BA28A5">
        <w:rPr>
          <w:rFonts w:ascii="Arial Black" w:hAnsi="Arial Black" w:cs="Calibri"/>
          <w:b/>
          <w:bCs/>
          <w:color w:val="632423"/>
          <w:vertAlign w:val="subscript"/>
        </w:rPr>
        <w:t>2</w:t>
      </w:r>
      <w:r w:rsidRPr="00186C98">
        <w:rPr>
          <w:rFonts w:ascii="Arial Black" w:hAnsi="Arial Black" w:cs="Calibri"/>
          <w:b/>
          <w:bCs/>
          <w:color w:val="632423"/>
        </w:rPr>
        <w:t xml:space="preserve"> </w:t>
      </w:r>
    </w:p>
    <w:p w:rsidR="002B1371" w:rsidRPr="002436B1" w:rsidRDefault="002B1371" w:rsidP="002B1371">
      <w:pPr>
        <w:rPr>
          <w:rFonts w:ascii="Calibri" w:hAnsi="Calibri" w:cs="Calibri"/>
          <w:b/>
          <w:bCs/>
        </w:rPr>
      </w:pPr>
    </w:p>
    <w:p w:rsidR="002B1371" w:rsidRPr="002436B1" w:rsidRDefault="002B1371" w:rsidP="00091EC3">
      <w:pPr>
        <w:jc w:val="center"/>
        <w:rPr>
          <w:rFonts w:ascii="Calibri" w:hAnsi="Calibri" w:cs="Calibri"/>
          <w:color w:val="800000"/>
          <w:sz w:val="28"/>
          <w:szCs w:val="28"/>
        </w:rPr>
      </w:pPr>
      <w:r w:rsidRPr="002436B1">
        <w:rPr>
          <w:rFonts w:ascii="Calibri" w:hAnsi="Calibri" w:cs="Calibri"/>
          <w:b/>
          <w:bCs/>
        </w:rPr>
        <w:t>Obligations d’affichage des émissions de CO</w:t>
      </w:r>
      <w:r w:rsidRPr="002436B1">
        <w:rPr>
          <w:rFonts w:ascii="Calibri" w:hAnsi="Calibri" w:cs="Calibri"/>
          <w:b/>
          <w:bCs/>
          <w:vertAlign w:val="subscript"/>
        </w:rPr>
        <w:t>2</w:t>
      </w:r>
      <w:r w:rsidRPr="002436B1">
        <w:rPr>
          <w:rFonts w:ascii="Calibri" w:hAnsi="Calibri" w:cs="Calibri"/>
          <w:b/>
          <w:bCs/>
        </w:rPr>
        <w:t xml:space="preserve"> pour les prestations de transport :</w:t>
      </w:r>
    </w:p>
    <w:p w:rsidR="002B1371" w:rsidRPr="002436B1" w:rsidRDefault="002B1371" w:rsidP="002B1371">
      <w:pPr>
        <w:jc w:val="center"/>
        <w:rPr>
          <w:rFonts w:ascii="Calibri" w:hAnsi="Calibri" w:cs="Calibri"/>
          <w:b/>
          <w:bCs/>
        </w:rPr>
      </w:pPr>
    </w:p>
    <w:p w:rsidR="00446450" w:rsidRPr="008E3177" w:rsidRDefault="00446450" w:rsidP="008E3177">
      <w:pPr>
        <w:tabs>
          <w:tab w:val="left" w:pos="5760"/>
        </w:tabs>
        <w:rPr>
          <w:rFonts w:ascii="Calibri" w:hAnsi="Calibri" w:cs="Calibri"/>
          <w:i/>
          <w:iCs/>
        </w:rPr>
      </w:pPr>
      <w:r w:rsidRPr="008E3177">
        <w:rPr>
          <w:rFonts w:ascii="Calibri" w:hAnsi="Calibri" w:cs="Calibri"/>
          <w:i/>
          <w:iCs/>
        </w:rPr>
        <w:t xml:space="preserve">Pourcentage d’établissements </w:t>
      </w:r>
      <w:r w:rsidR="00186CE1">
        <w:rPr>
          <w:rFonts w:ascii="Calibri" w:hAnsi="Calibri" w:cs="Calibri"/>
          <w:i/>
          <w:iCs/>
        </w:rPr>
        <w:t xml:space="preserve">concernés </w:t>
      </w:r>
      <w:r w:rsidRPr="008E3177">
        <w:rPr>
          <w:rFonts w:ascii="Calibri" w:hAnsi="Calibri" w:cs="Calibri"/>
          <w:i/>
          <w:iCs/>
        </w:rPr>
        <w:t>du secteur</w:t>
      </w:r>
      <w:r w:rsidR="00186CE1">
        <w:rPr>
          <w:rFonts w:ascii="Calibri" w:hAnsi="Calibri" w:cs="Calibri"/>
          <w:i/>
          <w:iCs/>
        </w:rPr>
        <w:t xml:space="preserve"> transport-logistique</w:t>
      </w:r>
      <w:r w:rsidR="00186CE1">
        <w:rPr>
          <w:rFonts w:ascii="Calibri" w:hAnsi="Calibri" w:cs="Calibri"/>
          <w:i/>
          <w:iCs/>
        </w:rPr>
        <w:tab/>
        <w:t xml:space="preserve">      </w:t>
      </w:r>
      <w:r w:rsidR="00214D58" w:rsidRPr="008E3177">
        <w:rPr>
          <w:rFonts w:ascii="Calibri" w:hAnsi="Calibri" w:cs="Calibri"/>
          <w:i/>
          <w:iCs/>
        </w:rPr>
        <w:t xml:space="preserve"> </w:t>
      </w:r>
      <w:r w:rsidRPr="008E3177">
        <w:rPr>
          <w:rFonts w:ascii="Calibri" w:hAnsi="Calibri" w:cs="Calibri"/>
          <w:i/>
          <w:iCs/>
        </w:rPr>
        <w:t xml:space="preserve">Pourcentage d’établissements </w:t>
      </w:r>
      <w:r w:rsidR="00186CE1">
        <w:rPr>
          <w:rFonts w:ascii="Calibri" w:hAnsi="Calibri" w:cs="Calibri"/>
          <w:i/>
          <w:iCs/>
        </w:rPr>
        <w:t xml:space="preserve">concernés </w:t>
      </w:r>
      <w:r w:rsidRPr="008E3177">
        <w:rPr>
          <w:rFonts w:ascii="Calibri" w:hAnsi="Calibri" w:cs="Calibri"/>
          <w:i/>
          <w:iCs/>
        </w:rPr>
        <w:t xml:space="preserve">du secteur transport-logistique </w:t>
      </w:r>
    </w:p>
    <w:p w:rsidR="00446450" w:rsidRPr="00091EC3" w:rsidRDefault="008E3177" w:rsidP="008E3177">
      <w:pPr>
        <w:tabs>
          <w:tab w:val="left" w:pos="5760"/>
        </w:tabs>
        <w:rPr>
          <w:rFonts w:ascii="Calibri" w:hAnsi="Calibri" w:cs="Calibri"/>
          <w:bCs/>
        </w:rPr>
      </w:pPr>
      <w:r>
        <w:rPr>
          <w:rFonts w:ascii="Calibri" w:hAnsi="Calibri" w:cs="Calibri"/>
          <w:i/>
          <w:iCs/>
        </w:rPr>
        <w:t xml:space="preserve">                       </w:t>
      </w:r>
      <w:r w:rsidR="00446450" w:rsidRPr="008E3177">
        <w:rPr>
          <w:rFonts w:ascii="Calibri" w:hAnsi="Calibri" w:cs="Calibri"/>
          <w:i/>
          <w:iCs/>
        </w:rPr>
        <w:t>qui ont pris des mesures en 201</w:t>
      </w:r>
      <w:r w:rsidR="008C08BA">
        <w:rPr>
          <w:rFonts w:ascii="Calibri" w:hAnsi="Calibri" w:cs="Calibri"/>
          <w:i/>
          <w:iCs/>
        </w:rPr>
        <w:t>4</w:t>
      </w:r>
      <w:r w:rsidR="00446450" w:rsidRPr="00091EC3">
        <w:rPr>
          <w:rFonts w:ascii="Calibri" w:hAnsi="Calibri" w:cs="Calibri"/>
          <w:bCs/>
        </w:rPr>
        <w:tab/>
      </w:r>
      <w:r w:rsidR="00446450" w:rsidRPr="00091EC3">
        <w:rPr>
          <w:rFonts w:ascii="Calibri" w:hAnsi="Calibri" w:cs="Calibri"/>
          <w:bCs/>
        </w:rPr>
        <w:tab/>
      </w:r>
      <w:r w:rsidR="00446450" w:rsidRPr="00091EC3">
        <w:rPr>
          <w:rFonts w:ascii="Calibri" w:hAnsi="Calibri" w:cs="Calibri"/>
          <w:bCs/>
        </w:rPr>
        <w:tab/>
      </w:r>
      <w:r w:rsidR="00446450" w:rsidRPr="00091EC3">
        <w:rPr>
          <w:rFonts w:ascii="Calibri" w:hAnsi="Calibri" w:cs="Calibri"/>
          <w:bCs/>
        </w:rPr>
        <w:tab/>
      </w:r>
      <w:r>
        <w:rPr>
          <w:rFonts w:ascii="Calibri" w:hAnsi="Calibri" w:cs="Calibri"/>
          <w:i/>
          <w:iCs/>
        </w:rPr>
        <w:tab/>
      </w:r>
      <w:r w:rsidR="00446450" w:rsidRPr="008E3177">
        <w:rPr>
          <w:rFonts w:ascii="Calibri" w:hAnsi="Calibri" w:cs="Calibri"/>
          <w:i/>
          <w:iCs/>
        </w:rPr>
        <w:t>qui prévoient de prendre des mesures en 201</w:t>
      </w:r>
      <w:r w:rsidR="008C08BA">
        <w:rPr>
          <w:rFonts w:ascii="Calibri" w:hAnsi="Calibri" w:cs="Calibri"/>
          <w:i/>
          <w:iCs/>
        </w:rPr>
        <w:t>5</w:t>
      </w:r>
    </w:p>
    <w:p w:rsidR="00DB7DA0" w:rsidRPr="002436B1" w:rsidRDefault="00DB7DA0" w:rsidP="00446450">
      <w:pPr>
        <w:rPr>
          <w:rFonts w:ascii="Calibri" w:hAnsi="Calibri" w:cs="Calibri"/>
          <w:b/>
          <w:bCs/>
        </w:rPr>
      </w:pPr>
      <w:r>
        <w:rPr>
          <w:rFonts w:ascii="Calibri" w:hAnsi="Calibri" w:cs="Calibri"/>
          <w:noProof/>
        </w:rPr>
        <w:drawing>
          <wp:inline distT="0" distB="0" distL="0" distR="0" wp14:anchorId="59382E70" wp14:editId="5B5A6DBB">
            <wp:extent cx="3476625" cy="1276350"/>
            <wp:effectExtent l="0" t="0" r="9525" b="19050"/>
            <wp:docPr id="51"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Calibri" w:hAnsi="Calibri" w:cs="Calibri"/>
          <w:b/>
          <w:bCs/>
        </w:rPr>
        <w:t xml:space="preserve">                     </w:t>
      </w:r>
      <w:r w:rsidR="00417399">
        <w:rPr>
          <w:rFonts w:ascii="Calibri" w:hAnsi="Calibri" w:cs="Calibri"/>
          <w:b/>
          <w:bCs/>
        </w:rPr>
        <w:t xml:space="preserve">                </w:t>
      </w:r>
      <w:r>
        <w:rPr>
          <w:rFonts w:ascii="Calibri" w:hAnsi="Calibri" w:cs="Calibri"/>
          <w:b/>
          <w:bCs/>
        </w:rPr>
        <w:t xml:space="preserve">       </w:t>
      </w:r>
      <w:r>
        <w:rPr>
          <w:rFonts w:ascii="Calibri" w:hAnsi="Calibri" w:cs="Calibri"/>
          <w:noProof/>
        </w:rPr>
        <w:drawing>
          <wp:inline distT="0" distB="0" distL="0" distR="0" wp14:anchorId="3730801E" wp14:editId="5AAFC8ED">
            <wp:extent cx="3486150" cy="1314450"/>
            <wp:effectExtent l="0" t="0" r="19050" b="19050"/>
            <wp:docPr id="52"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7399" w:rsidRDefault="00417399" w:rsidP="002B1371">
      <w:pPr>
        <w:jc w:val="both"/>
        <w:rPr>
          <w:rFonts w:ascii="Calibri" w:hAnsi="Calibri" w:cs="Calibri"/>
        </w:rPr>
      </w:pPr>
    </w:p>
    <w:p w:rsidR="002B1371" w:rsidRPr="002436B1" w:rsidRDefault="002B1371" w:rsidP="002B1371">
      <w:pPr>
        <w:jc w:val="both"/>
        <w:rPr>
          <w:rFonts w:ascii="Calibri" w:hAnsi="Calibri" w:cs="Calibri"/>
        </w:rPr>
      </w:pPr>
      <w:r w:rsidRPr="002436B1">
        <w:rPr>
          <w:rFonts w:ascii="Calibri" w:hAnsi="Calibri" w:cs="Calibri"/>
        </w:rPr>
        <w:t>Suite à l’article</w:t>
      </w:r>
      <w:r w:rsidR="008E3177">
        <w:rPr>
          <w:rFonts w:ascii="Calibri" w:hAnsi="Calibri" w:cs="Calibri"/>
        </w:rPr>
        <w:t xml:space="preserve"> </w:t>
      </w:r>
      <w:r w:rsidRPr="002436B1">
        <w:rPr>
          <w:rFonts w:ascii="Calibri" w:hAnsi="Calibri" w:cs="Calibri"/>
        </w:rPr>
        <w:t>228 de la loi Grenelle 2 du 12</w:t>
      </w:r>
      <w:r w:rsidR="008E3177">
        <w:rPr>
          <w:rFonts w:ascii="Calibri" w:hAnsi="Calibri" w:cs="Calibri"/>
        </w:rPr>
        <w:t xml:space="preserve"> </w:t>
      </w:r>
      <w:r w:rsidRPr="002436B1">
        <w:rPr>
          <w:rFonts w:ascii="Calibri" w:hAnsi="Calibri" w:cs="Calibri"/>
        </w:rPr>
        <w:t>juillet</w:t>
      </w:r>
      <w:r w:rsidR="008E3177">
        <w:rPr>
          <w:rFonts w:ascii="Calibri" w:hAnsi="Calibri" w:cs="Calibri"/>
        </w:rPr>
        <w:t xml:space="preserve"> </w:t>
      </w:r>
      <w:r w:rsidRPr="002436B1">
        <w:rPr>
          <w:rFonts w:ascii="Calibri" w:hAnsi="Calibri" w:cs="Calibri"/>
        </w:rPr>
        <w:t>2010 portant engagement national pour l’environnement, toute personne bénéficiant d’une prestation de transport d</w:t>
      </w:r>
      <w:r w:rsidR="008E3177">
        <w:rPr>
          <w:rFonts w:ascii="Calibri" w:hAnsi="Calibri" w:cs="Calibri"/>
        </w:rPr>
        <w:t>oit</w:t>
      </w:r>
      <w:r w:rsidRPr="002436B1">
        <w:rPr>
          <w:rFonts w:ascii="Calibri" w:hAnsi="Calibri" w:cs="Calibri"/>
        </w:rPr>
        <w:t xml:space="preserve">, </w:t>
      </w:r>
      <w:r w:rsidR="008C08BA">
        <w:rPr>
          <w:rFonts w:ascii="Calibri" w:hAnsi="Calibri" w:cs="Calibri"/>
        </w:rPr>
        <w:t>depuis le</w:t>
      </w:r>
      <w:r w:rsidRPr="002436B1">
        <w:rPr>
          <w:rFonts w:ascii="Calibri" w:hAnsi="Calibri" w:cs="Calibri"/>
        </w:rPr>
        <w:t xml:space="preserve"> 1er octobre 2013, être informée de la quantité de dioxyde de carbone (CO</w:t>
      </w:r>
      <w:r w:rsidRPr="002436B1">
        <w:rPr>
          <w:rFonts w:ascii="Calibri" w:hAnsi="Calibri" w:cs="Calibri"/>
          <w:vertAlign w:val="subscript"/>
        </w:rPr>
        <w:t>2</w:t>
      </w:r>
      <w:r w:rsidRPr="002436B1">
        <w:rPr>
          <w:rFonts w:ascii="Calibri" w:hAnsi="Calibri" w:cs="Calibri"/>
        </w:rPr>
        <w:t>) émise par le ou les modes de transport utilisés.</w:t>
      </w:r>
    </w:p>
    <w:p w:rsidR="002B1371" w:rsidRPr="002436B1" w:rsidRDefault="002B1371" w:rsidP="002B1371">
      <w:pPr>
        <w:jc w:val="both"/>
        <w:rPr>
          <w:rFonts w:ascii="Calibri" w:hAnsi="Calibri" w:cs="Calibri"/>
        </w:rPr>
      </w:pPr>
    </w:p>
    <w:p w:rsidR="002B1371" w:rsidRPr="002436B1" w:rsidRDefault="002B1371" w:rsidP="002B1371">
      <w:pPr>
        <w:jc w:val="both"/>
        <w:rPr>
          <w:rFonts w:ascii="Calibri" w:hAnsi="Calibri" w:cs="Calibri"/>
        </w:rPr>
      </w:pPr>
      <w:r w:rsidRPr="002436B1">
        <w:rPr>
          <w:rFonts w:ascii="Calibri" w:hAnsi="Calibri" w:cs="Calibri"/>
        </w:rPr>
        <w:t xml:space="preserve">Sont donc concernées par cette obligation les entreprises </w:t>
      </w:r>
      <w:r w:rsidR="00C5293D">
        <w:rPr>
          <w:rFonts w:ascii="Calibri" w:hAnsi="Calibri" w:cs="Calibri"/>
        </w:rPr>
        <w:t xml:space="preserve">de </w:t>
      </w:r>
      <w:r w:rsidR="00C5293D" w:rsidRPr="002436B1">
        <w:rPr>
          <w:rFonts w:ascii="Calibri" w:hAnsi="Calibri" w:cs="Calibri"/>
        </w:rPr>
        <w:t>transport</w:t>
      </w:r>
      <w:r w:rsidR="00C5293D">
        <w:rPr>
          <w:rFonts w:ascii="Calibri" w:hAnsi="Calibri" w:cs="Calibri"/>
        </w:rPr>
        <w:t xml:space="preserve"> et</w:t>
      </w:r>
      <w:r w:rsidR="00C5293D" w:rsidRPr="002436B1">
        <w:rPr>
          <w:rFonts w:ascii="Calibri" w:hAnsi="Calibri" w:cs="Calibri"/>
        </w:rPr>
        <w:t xml:space="preserve"> commissionnaire </w:t>
      </w:r>
      <w:r w:rsidRPr="002436B1">
        <w:rPr>
          <w:rFonts w:ascii="Calibri" w:hAnsi="Calibri" w:cs="Calibri"/>
        </w:rPr>
        <w:t>qui organisent ou commercialisent une prestation de transport ayant son point d'origine ou de destination situé sur le territoire national</w:t>
      </w:r>
      <w:r w:rsidR="00186CE1">
        <w:rPr>
          <w:rFonts w:ascii="Calibri" w:hAnsi="Calibri" w:cs="Calibri"/>
        </w:rPr>
        <w:t>, soit 60% des prestataires transport-logistique de notre échantillon</w:t>
      </w:r>
      <w:r w:rsidRPr="002436B1">
        <w:rPr>
          <w:rFonts w:ascii="Calibri" w:hAnsi="Calibri" w:cs="Calibri"/>
        </w:rPr>
        <w:t xml:space="preserve">. </w:t>
      </w:r>
    </w:p>
    <w:p w:rsidR="002B1371" w:rsidRPr="002436B1" w:rsidRDefault="002B1371" w:rsidP="002B1371">
      <w:pPr>
        <w:jc w:val="both"/>
        <w:rPr>
          <w:rFonts w:ascii="Calibri" w:hAnsi="Calibri" w:cs="Calibri"/>
        </w:rPr>
      </w:pPr>
    </w:p>
    <w:p w:rsidR="003E76F5" w:rsidRDefault="00796851" w:rsidP="002B1371">
      <w:pPr>
        <w:jc w:val="both"/>
        <w:rPr>
          <w:rFonts w:ascii="Calibri" w:hAnsi="Calibri" w:cs="Calibri"/>
        </w:rPr>
      </w:pPr>
      <w:r>
        <w:rPr>
          <w:rFonts w:ascii="Calibri" w:hAnsi="Calibri" w:cs="Calibri"/>
        </w:rPr>
        <w:t>R</w:t>
      </w:r>
      <w:r w:rsidR="00565AE4">
        <w:rPr>
          <w:rFonts w:ascii="Calibri" w:hAnsi="Calibri" w:cs="Calibri"/>
        </w:rPr>
        <w:t xml:space="preserve">espectivement 67% </w:t>
      </w:r>
      <w:r>
        <w:rPr>
          <w:rFonts w:ascii="Calibri" w:hAnsi="Calibri" w:cs="Calibri"/>
        </w:rPr>
        <w:t xml:space="preserve">des prestataires transport-logistique de 50 à 99 salariés concernés par cette obligation, </w:t>
      </w:r>
      <w:r w:rsidR="00565AE4">
        <w:rPr>
          <w:rFonts w:ascii="Calibri" w:hAnsi="Calibri" w:cs="Calibri"/>
        </w:rPr>
        <w:t xml:space="preserve">et 65% </w:t>
      </w:r>
      <w:r>
        <w:rPr>
          <w:rFonts w:ascii="Calibri" w:hAnsi="Calibri" w:cs="Calibri"/>
        </w:rPr>
        <w:t xml:space="preserve">des établissements de 100 salariés et plus, ont </w:t>
      </w:r>
      <w:r w:rsidR="00C5293D">
        <w:rPr>
          <w:rFonts w:ascii="Calibri" w:hAnsi="Calibri" w:cs="Calibri"/>
        </w:rPr>
        <w:t xml:space="preserve">continué à mettre en œuvre en 2014 des actions </w:t>
      </w:r>
      <w:r>
        <w:rPr>
          <w:rFonts w:ascii="Calibri" w:hAnsi="Calibri" w:cs="Calibri"/>
        </w:rPr>
        <w:t xml:space="preserve">pour </w:t>
      </w:r>
      <w:r w:rsidR="00C5293D">
        <w:rPr>
          <w:rFonts w:ascii="Calibri" w:hAnsi="Calibri" w:cs="Calibri"/>
        </w:rPr>
        <w:t>remplir</w:t>
      </w:r>
      <w:r>
        <w:rPr>
          <w:rFonts w:ascii="Calibri" w:hAnsi="Calibri" w:cs="Calibri"/>
        </w:rPr>
        <w:t xml:space="preserve"> cette obligation, </w:t>
      </w:r>
      <w:r w:rsidR="00565AE4">
        <w:rPr>
          <w:rFonts w:ascii="Calibri" w:hAnsi="Calibri" w:cs="Calibri"/>
        </w:rPr>
        <w:t>ce qui traduit une adaptation progressive à ces nouvelles dispositions</w:t>
      </w:r>
      <w:r w:rsidR="00CB1BBF">
        <w:rPr>
          <w:rFonts w:ascii="Calibri" w:hAnsi="Calibri" w:cs="Calibri"/>
        </w:rPr>
        <w:t>, et la mise en place de processus d’amélioration</w:t>
      </w:r>
      <w:r w:rsidR="00565AE4">
        <w:rPr>
          <w:rFonts w:ascii="Calibri" w:hAnsi="Calibri" w:cs="Calibri"/>
        </w:rPr>
        <w:t xml:space="preserve">. </w:t>
      </w:r>
    </w:p>
    <w:p w:rsidR="003E76F5" w:rsidRDefault="003E76F5" w:rsidP="002B1371">
      <w:pPr>
        <w:jc w:val="both"/>
        <w:rPr>
          <w:rFonts w:ascii="Calibri" w:hAnsi="Calibri" w:cs="Calibri"/>
        </w:rPr>
      </w:pPr>
    </w:p>
    <w:p w:rsidR="00565AE4" w:rsidRDefault="00565AE4" w:rsidP="002B1371">
      <w:pPr>
        <w:jc w:val="both"/>
        <w:rPr>
          <w:rFonts w:ascii="Calibri" w:hAnsi="Calibri" w:cs="Calibri"/>
        </w:rPr>
      </w:pPr>
      <w:r>
        <w:rPr>
          <w:rFonts w:ascii="Calibri" w:hAnsi="Calibri" w:cs="Calibri"/>
        </w:rPr>
        <w:t xml:space="preserve">Plus de la moitié des prestataires interrogés </w:t>
      </w:r>
      <w:r w:rsidR="00C75215">
        <w:rPr>
          <w:rFonts w:ascii="Calibri" w:hAnsi="Calibri" w:cs="Calibri"/>
        </w:rPr>
        <w:t xml:space="preserve">soumis à l’obligation d’affichage </w:t>
      </w:r>
      <w:r>
        <w:rPr>
          <w:rFonts w:ascii="Calibri" w:hAnsi="Calibri" w:cs="Calibri"/>
        </w:rPr>
        <w:t xml:space="preserve">prévoient </w:t>
      </w:r>
      <w:r w:rsidR="003E76F5">
        <w:rPr>
          <w:rFonts w:ascii="Calibri" w:hAnsi="Calibri" w:cs="Calibri"/>
        </w:rPr>
        <w:t>de prendre</w:t>
      </w:r>
      <w:r>
        <w:rPr>
          <w:rFonts w:ascii="Calibri" w:hAnsi="Calibri" w:cs="Calibri"/>
        </w:rPr>
        <w:t xml:space="preserve"> encore de nouvelles mesures en 2015</w:t>
      </w:r>
      <w:r w:rsidR="00CB1BBF">
        <w:rPr>
          <w:rFonts w:ascii="Calibri" w:hAnsi="Calibri" w:cs="Calibri"/>
        </w:rPr>
        <w:t xml:space="preserve">, le plus souvent des actions de formation (près de deux fois sur trois).  </w:t>
      </w:r>
    </w:p>
    <w:p w:rsidR="00E72712" w:rsidRPr="00EF4743" w:rsidRDefault="006B4C01" w:rsidP="00EF4743">
      <w:pPr>
        <w:jc w:val="center"/>
        <w:rPr>
          <w:rFonts w:ascii="Calibri" w:hAnsi="Calibri" w:cs="Calibri"/>
          <w:b/>
          <w:bCs/>
        </w:rPr>
      </w:pPr>
      <w:r w:rsidRPr="00EF4743">
        <w:rPr>
          <w:rFonts w:ascii="Calibri" w:hAnsi="Calibri" w:cs="Calibri"/>
          <w:b/>
          <w:bCs/>
        </w:rPr>
        <w:t>Prestataires transport-logistique employant en interne une ou plusieurs personnes spécifiquement en charge des problématiques environnementales et énergétiques (en %)</w:t>
      </w:r>
    </w:p>
    <w:p w:rsidR="0081115D" w:rsidRDefault="0081115D" w:rsidP="002B1371">
      <w:pPr>
        <w:jc w:val="both"/>
        <w:rPr>
          <w:rFonts w:ascii="Arial" w:hAnsi="Arial" w:cs="Arial"/>
          <w:b/>
          <w:bCs/>
          <w:sz w:val="20"/>
        </w:rPr>
      </w:pPr>
    </w:p>
    <w:p w:rsidR="0081115D" w:rsidRDefault="0081115D" w:rsidP="00C67632">
      <w:pPr>
        <w:jc w:val="center"/>
        <w:rPr>
          <w:rFonts w:ascii="Calibri" w:hAnsi="Calibri" w:cs="Calibri"/>
        </w:rPr>
      </w:pPr>
      <w:r>
        <w:rPr>
          <w:rFonts w:ascii="Calibri" w:hAnsi="Calibri" w:cs="Calibri"/>
          <w:noProof/>
        </w:rPr>
        <w:drawing>
          <wp:inline distT="0" distB="0" distL="0" distR="0" wp14:anchorId="24BC179F" wp14:editId="5EE2FB56">
            <wp:extent cx="6553200" cy="1685925"/>
            <wp:effectExtent l="0" t="0" r="19050" b="9525"/>
            <wp:docPr id="2"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1371" w:rsidRPr="002436B1" w:rsidRDefault="002B1371" w:rsidP="002B1371">
      <w:pPr>
        <w:jc w:val="both"/>
        <w:rPr>
          <w:rFonts w:ascii="Calibri" w:hAnsi="Calibri" w:cs="Calibri"/>
        </w:rPr>
      </w:pPr>
    </w:p>
    <w:p w:rsidR="00DA008F" w:rsidRPr="00DA008F" w:rsidRDefault="00DA008F" w:rsidP="00DA008F">
      <w:pPr>
        <w:jc w:val="both"/>
        <w:rPr>
          <w:rFonts w:ascii="Calibri" w:hAnsi="Calibri" w:cs="Calibri"/>
        </w:rPr>
      </w:pPr>
      <w:r w:rsidRPr="00DA008F">
        <w:rPr>
          <w:rFonts w:ascii="Calibri" w:hAnsi="Calibri" w:cs="Calibri"/>
        </w:rPr>
        <w:t>Plus de la moitié des prestataires transport</w:t>
      </w:r>
      <w:r w:rsidR="00CF2A26">
        <w:rPr>
          <w:rFonts w:ascii="Calibri" w:hAnsi="Calibri" w:cs="Calibri"/>
        </w:rPr>
        <w:t>-</w:t>
      </w:r>
      <w:r w:rsidRPr="00DA008F">
        <w:rPr>
          <w:rFonts w:ascii="Calibri" w:hAnsi="Calibri" w:cs="Calibri"/>
        </w:rPr>
        <w:t>logistique d’au moins 100 salariés emploie</w:t>
      </w:r>
      <w:r w:rsidR="008A15B3">
        <w:rPr>
          <w:rFonts w:ascii="Calibri" w:hAnsi="Calibri" w:cs="Calibri"/>
        </w:rPr>
        <w:t>nt</w:t>
      </w:r>
      <w:r w:rsidRPr="00DA008F">
        <w:rPr>
          <w:rFonts w:ascii="Calibri" w:hAnsi="Calibri" w:cs="Calibri"/>
        </w:rPr>
        <w:t xml:space="preserve"> </w:t>
      </w:r>
      <w:r>
        <w:rPr>
          <w:rFonts w:ascii="Calibri" w:hAnsi="Calibri" w:cs="Calibri"/>
        </w:rPr>
        <w:t xml:space="preserve">désormais </w:t>
      </w:r>
      <w:r w:rsidRPr="00DA008F">
        <w:rPr>
          <w:rFonts w:ascii="Calibri" w:hAnsi="Calibri" w:cs="Calibri"/>
        </w:rPr>
        <w:t>des personnes en charge des problématiques environnementales et énergétiques</w:t>
      </w:r>
      <w:r>
        <w:rPr>
          <w:rFonts w:ascii="Calibri" w:hAnsi="Calibri" w:cs="Calibri"/>
        </w:rPr>
        <w:t>.</w:t>
      </w:r>
    </w:p>
    <w:p w:rsidR="002B1371" w:rsidRDefault="002B1371" w:rsidP="002B1371">
      <w:pPr>
        <w:jc w:val="both"/>
        <w:rPr>
          <w:rFonts w:ascii="Calibri" w:hAnsi="Calibri" w:cs="Calibri"/>
        </w:rPr>
      </w:pPr>
    </w:p>
    <w:p w:rsidR="006B4C01" w:rsidRPr="002436B1" w:rsidRDefault="006B4C01" w:rsidP="002B1371">
      <w:pPr>
        <w:jc w:val="both"/>
        <w:rPr>
          <w:rFonts w:ascii="Calibri" w:hAnsi="Calibri" w:cs="Calibri"/>
        </w:rPr>
      </w:pPr>
    </w:p>
    <w:p w:rsidR="002B1371" w:rsidRPr="00186C98" w:rsidRDefault="000C709B" w:rsidP="002B1371">
      <w:pPr>
        <w:rPr>
          <w:rFonts w:ascii="Arial Black" w:hAnsi="Arial Black" w:cs="Calibri"/>
          <w:b/>
          <w:bCs/>
          <w:color w:val="632423"/>
        </w:rPr>
      </w:pPr>
      <w:r>
        <w:rPr>
          <w:rFonts w:ascii="Arial Black" w:hAnsi="Arial Black" w:cs="Calibri"/>
          <w:b/>
          <w:bCs/>
          <w:color w:val="632423"/>
        </w:rPr>
        <w:t>D</w:t>
      </w:r>
      <w:r w:rsidR="002B1371" w:rsidRPr="00186C98">
        <w:rPr>
          <w:rFonts w:ascii="Arial Black" w:hAnsi="Arial Black" w:cs="Calibri"/>
          <w:b/>
          <w:bCs/>
          <w:color w:val="632423"/>
        </w:rPr>
        <w:t xml:space="preserve">es ERP </w:t>
      </w:r>
      <w:r>
        <w:rPr>
          <w:rFonts w:ascii="Arial Black" w:hAnsi="Arial Black" w:cs="Calibri"/>
          <w:b/>
          <w:bCs/>
          <w:color w:val="632423"/>
        </w:rPr>
        <w:t>devenus indispensables</w:t>
      </w:r>
    </w:p>
    <w:p w:rsidR="00186C98" w:rsidRDefault="00186C98"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Systèmes d’information et de gestion</w:t>
      </w:r>
    </w:p>
    <w:p w:rsidR="002B1371" w:rsidRPr="002436B1" w:rsidRDefault="002B1371" w:rsidP="002B1371">
      <w:pPr>
        <w:jc w:val="center"/>
        <w:rPr>
          <w:rFonts w:ascii="Calibri" w:hAnsi="Calibri" w:cs="Calibri"/>
          <w:b/>
          <w:bCs/>
        </w:rPr>
      </w:pPr>
      <w:r w:rsidRPr="002436B1">
        <w:rPr>
          <w:rFonts w:ascii="Calibri" w:hAnsi="Calibri" w:cs="Calibri"/>
          <w:b/>
          <w:bCs/>
        </w:rPr>
        <w:t>(établissements d’au moins 100 salariés)</w:t>
      </w:r>
    </w:p>
    <w:p w:rsidR="002B1371" w:rsidRPr="002436B1" w:rsidRDefault="002B1371" w:rsidP="002B1371">
      <w:pPr>
        <w:jc w:val="center"/>
        <w:rPr>
          <w:rFonts w:ascii="Calibri" w:hAnsi="Calibri" w:cs="Calibri"/>
          <w:b/>
          <w:bCs/>
        </w:rPr>
      </w:pPr>
    </w:p>
    <w:tbl>
      <w:tblPr>
        <w:tblStyle w:val="Listemoyenne1-Accent3"/>
        <w:tblW w:w="4657" w:type="pct"/>
        <w:tblLook w:val="04A0" w:firstRow="1" w:lastRow="0" w:firstColumn="1" w:lastColumn="0" w:noHBand="0" w:noVBand="1"/>
      </w:tblPr>
      <w:tblGrid>
        <w:gridCol w:w="8297"/>
        <w:gridCol w:w="1005"/>
        <w:gridCol w:w="1005"/>
        <w:gridCol w:w="1005"/>
        <w:gridCol w:w="1005"/>
        <w:gridCol w:w="862"/>
        <w:gridCol w:w="856"/>
      </w:tblGrid>
      <w:tr w:rsidR="00CF2A26" w:rsidRPr="000B6DD0" w:rsidTr="00CF2A2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tcBorders>
              <w:top w:val="single" w:sz="8" w:space="0" w:color="9BBB59" w:themeColor="accent3"/>
            </w:tcBorders>
            <w:noWrap/>
          </w:tcPr>
          <w:p w:rsidR="00CF2A26" w:rsidRPr="000B6DD0" w:rsidRDefault="00CF2A26" w:rsidP="00964101">
            <w:pPr>
              <w:rPr>
                <w:rFonts w:asciiTheme="minorHAnsi" w:hAnsiTheme="minorHAnsi" w:cstheme="minorHAnsi"/>
                <w:b w:val="0"/>
                <w:bCs w:val="0"/>
                <w:sz w:val="22"/>
              </w:rPr>
            </w:pPr>
          </w:p>
        </w:tc>
        <w:tc>
          <w:tcPr>
            <w:tcW w:w="358" w:type="pct"/>
            <w:tcBorders>
              <w:top w:val="single" w:sz="8" w:space="0" w:color="9BBB59" w:themeColor="accent3"/>
            </w:tcBorders>
          </w:tcPr>
          <w:p w:rsidR="00CF2A26" w:rsidRPr="004D5963" w:rsidRDefault="00CF2A26" w:rsidP="009641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2010</w:t>
            </w:r>
          </w:p>
        </w:tc>
        <w:tc>
          <w:tcPr>
            <w:tcW w:w="358" w:type="pct"/>
            <w:tcBorders>
              <w:top w:val="single" w:sz="8" w:space="0" w:color="9BBB59" w:themeColor="accent3"/>
            </w:tcBorders>
          </w:tcPr>
          <w:p w:rsidR="00CF2A26" w:rsidRPr="004D5963" w:rsidRDefault="00CF2A26" w:rsidP="009641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2011</w:t>
            </w:r>
          </w:p>
        </w:tc>
        <w:tc>
          <w:tcPr>
            <w:tcW w:w="358" w:type="pct"/>
            <w:tcBorders>
              <w:top w:val="single" w:sz="8" w:space="0" w:color="9BBB59" w:themeColor="accent3"/>
            </w:tcBorders>
          </w:tcPr>
          <w:p w:rsidR="00CF2A26" w:rsidRPr="004D5963" w:rsidRDefault="00CF2A26" w:rsidP="009641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2012</w:t>
            </w:r>
          </w:p>
        </w:tc>
        <w:tc>
          <w:tcPr>
            <w:tcW w:w="358" w:type="pct"/>
            <w:tcBorders>
              <w:top w:val="single" w:sz="8" w:space="0" w:color="9BBB59" w:themeColor="accent3"/>
            </w:tcBorders>
          </w:tcPr>
          <w:p w:rsidR="00CF2A26" w:rsidRPr="004D5963" w:rsidRDefault="00CF2A26" w:rsidP="009641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2013</w:t>
            </w:r>
          </w:p>
        </w:tc>
        <w:tc>
          <w:tcPr>
            <w:tcW w:w="307" w:type="pct"/>
            <w:tcBorders>
              <w:top w:val="single" w:sz="8" w:space="0" w:color="9BBB59" w:themeColor="accent3"/>
            </w:tcBorders>
          </w:tcPr>
          <w:p w:rsidR="00CF2A26" w:rsidRPr="004D5963" w:rsidRDefault="00CF2A26" w:rsidP="009641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2014</w:t>
            </w:r>
          </w:p>
        </w:tc>
        <w:tc>
          <w:tcPr>
            <w:tcW w:w="306" w:type="pct"/>
            <w:tcBorders>
              <w:top w:val="single" w:sz="8" w:space="0" w:color="9BBB59" w:themeColor="accent3"/>
            </w:tcBorders>
          </w:tcPr>
          <w:p w:rsidR="00CF2A26" w:rsidRPr="004D5963" w:rsidRDefault="00CF2A26" w:rsidP="009641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Pr>
                <w:rFonts w:asciiTheme="minorHAnsi" w:hAnsiTheme="minorHAnsi" w:cstheme="minorHAnsi"/>
                <w:bCs/>
                <w:sz w:val="22"/>
                <w:szCs w:val="20"/>
              </w:rPr>
              <w:t>2015</w:t>
            </w:r>
          </w:p>
        </w:tc>
      </w:tr>
      <w:tr w:rsidR="00CF2A26" w:rsidRPr="000B6DD0" w:rsidTr="00CF2A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Echange de données informatisé (EDI)</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54%</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65%</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61%</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72%</w:t>
            </w:r>
          </w:p>
        </w:tc>
        <w:tc>
          <w:tcPr>
            <w:tcW w:w="307"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64%</w:t>
            </w:r>
          </w:p>
        </w:tc>
        <w:tc>
          <w:tcPr>
            <w:tcW w:w="306" w:type="pct"/>
            <w:vAlign w:val="bottom"/>
          </w:tcPr>
          <w:p w:rsidR="00CF2A26" w:rsidRPr="00DB75EB" w:rsidRDefault="00CF2A26" w:rsidP="00DB75EB">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58%</w:t>
            </w:r>
          </w:p>
        </w:tc>
      </w:tr>
      <w:tr w:rsidR="00CF2A26" w:rsidRPr="000B6DD0" w:rsidTr="00CF2A26">
        <w:trPr>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Solutions CRM ou SCM (applications en direction des clients et des fournisseurs)</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11%</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19%</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14%</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32%</w:t>
            </w:r>
          </w:p>
        </w:tc>
        <w:tc>
          <w:tcPr>
            <w:tcW w:w="307"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26%</w:t>
            </w:r>
          </w:p>
        </w:tc>
        <w:tc>
          <w:tcPr>
            <w:tcW w:w="306" w:type="pct"/>
            <w:vAlign w:val="bottom"/>
          </w:tcPr>
          <w:p w:rsidR="00CF2A26" w:rsidRPr="00DB75EB" w:rsidRDefault="00CF2A26" w:rsidP="00DB75EB">
            <w:pPr>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18%</w:t>
            </w:r>
          </w:p>
        </w:tc>
      </w:tr>
      <w:tr w:rsidR="00CF2A26" w:rsidRPr="000B6DD0" w:rsidTr="00CF2A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Lecteurs codes à barres</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53%</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69%</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63%</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67%</w:t>
            </w:r>
          </w:p>
        </w:tc>
        <w:tc>
          <w:tcPr>
            <w:tcW w:w="307"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68%</w:t>
            </w:r>
          </w:p>
        </w:tc>
        <w:tc>
          <w:tcPr>
            <w:tcW w:w="306" w:type="pct"/>
            <w:vAlign w:val="bottom"/>
          </w:tcPr>
          <w:p w:rsidR="00CF2A26" w:rsidRPr="00DB75EB" w:rsidRDefault="00CF2A26" w:rsidP="00DB75EB">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68%</w:t>
            </w:r>
          </w:p>
        </w:tc>
      </w:tr>
      <w:tr w:rsidR="00CF2A26" w:rsidRPr="000B6DD0" w:rsidTr="00CF2A26">
        <w:trPr>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RFID</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6%</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16%</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8%</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9%</w:t>
            </w:r>
          </w:p>
        </w:tc>
        <w:tc>
          <w:tcPr>
            <w:tcW w:w="307"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7%</w:t>
            </w:r>
          </w:p>
        </w:tc>
        <w:tc>
          <w:tcPr>
            <w:tcW w:w="306" w:type="pct"/>
            <w:vAlign w:val="bottom"/>
          </w:tcPr>
          <w:p w:rsidR="00CF2A26" w:rsidRPr="00DB75EB" w:rsidRDefault="00CF2A26" w:rsidP="00DB75EB">
            <w:pPr>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12%</w:t>
            </w:r>
          </w:p>
        </w:tc>
      </w:tr>
      <w:tr w:rsidR="00CF2A26" w:rsidRPr="000B6DD0" w:rsidTr="00CF2A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Logiciel de gestion des entrepôts (WMS)</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27%</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22%</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35%</w:t>
            </w:r>
          </w:p>
        </w:tc>
        <w:tc>
          <w:tcPr>
            <w:tcW w:w="307"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28%</w:t>
            </w:r>
          </w:p>
        </w:tc>
        <w:tc>
          <w:tcPr>
            <w:tcW w:w="306" w:type="pct"/>
            <w:vAlign w:val="bottom"/>
          </w:tcPr>
          <w:p w:rsidR="00CF2A26" w:rsidRPr="00DB75EB" w:rsidRDefault="00CF2A26" w:rsidP="00DB75EB">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37%</w:t>
            </w:r>
          </w:p>
        </w:tc>
      </w:tr>
      <w:tr w:rsidR="00CF2A26" w:rsidRPr="000B6DD0" w:rsidTr="00CF2A26">
        <w:trPr>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Logiciel de gestion du transport (TMS)</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16%</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20%</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13%</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31%</w:t>
            </w:r>
          </w:p>
        </w:tc>
        <w:tc>
          <w:tcPr>
            <w:tcW w:w="307"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19%</w:t>
            </w:r>
          </w:p>
        </w:tc>
        <w:tc>
          <w:tcPr>
            <w:tcW w:w="306" w:type="pct"/>
            <w:vAlign w:val="bottom"/>
          </w:tcPr>
          <w:p w:rsidR="00CF2A26" w:rsidRPr="00DB75EB" w:rsidRDefault="00CF2A26" w:rsidP="00DB75EB">
            <w:pPr>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27%</w:t>
            </w:r>
          </w:p>
        </w:tc>
      </w:tr>
      <w:tr w:rsidR="00CF2A26" w:rsidRPr="000B6DD0" w:rsidTr="00CF2A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Logiciel de gestion intégrée (ERP)</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46%</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72%</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74%</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74%</w:t>
            </w:r>
          </w:p>
        </w:tc>
        <w:tc>
          <w:tcPr>
            <w:tcW w:w="307"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74%</w:t>
            </w:r>
          </w:p>
        </w:tc>
        <w:tc>
          <w:tcPr>
            <w:tcW w:w="306" w:type="pct"/>
          </w:tcPr>
          <w:p w:rsidR="00CF2A26" w:rsidRPr="00DB75EB" w:rsidRDefault="00CF2A26" w:rsidP="00CF2A26">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77%</w:t>
            </w:r>
          </w:p>
        </w:tc>
      </w:tr>
      <w:tr w:rsidR="00CF2A26" w:rsidRPr="000B6DD0" w:rsidTr="00CF2A26">
        <w:trPr>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Progiciels de planification avancée (APS)</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24%</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21%</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13%</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33%</w:t>
            </w:r>
          </w:p>
        </w:tc>
        <w:tc>
          <w:tcPr>
            <w:tcW w:w="307"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18%</w:t>
            </w:r>
          </w:p>
        </w:tc>
        <w:tc>
          <w:tcPr>
            <w:tcW w:w="306" w:type="pct"/>
          </w:tcPr>
          <w:p w:rsidR="00CF2A26" w:rsidRPr="00DB75EB" w:rsidRDefault="00CF2A26" w:rsidP="00CF2A26">
            <w:pPr>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23%</w:t>
            </w:r>
          </w:p>
        </w:tc>
      </w:tr>
      <w:tr w:rsidR="00CF2A26" w:rsidRPr="000B6DD0" w:rsidTr="00CF2A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Outils de pilotage et de suivi de la production (MES)</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19%</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35%</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18%</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42%</w:t>
            </w:r>
          </w:p>
        </w:tc>
        <w:tc>
          <w:tcPr>
            <w:tcW w:w="307"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22%</w:t>
            </w:r>
          </w:p>
        </w:tc>
        <w:tc>
          <w:tcPr>
            <w:tcW w:w="306" w:type="pct"/>
            <w:vAlign w:val="bottom"/>
          </w:tcPr>
          <w:p w:rsidR="00CF2A26" w:rsidRPr="00DB75EB" w:rsidRDefault="00CF2A26" w:rsidP="00DB75EB">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32%</w:t>
            </w:r>
          </w:p>
        </w:tc>
      </w:tr>
      <w:tr w:rsidR="00CF2A26" w:rsidRPr="000B6DD0" w:rsidTr="00CF2A26">
        <w:trPr>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Reconnaissance vocale</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5%</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4%</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5%</w:t>
            </w:r>
          </w:p>
        </w:tc>
        <w:tc>
          <w:tcPr>
            <w:tcW w:w="358"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5%</w:t>
            </w:r>
          </w:p>
        </w:tc>
        <w:tc>
          <w:tcPr>
            <w:tcW w:w="307" w:type="pct"/>
          </w:tcPr>
          <w:p w:rsidR="00CF2A26" w:rsidRPr="004D5963" w:rsidRDefault="00CF2A26" w:rsidP="009641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5%</w:t>
            </w:r>
          </w:p>
        </w:tc>
        <w:tc>
          <w:tcPr>
            <w:tcW w:w="306" w:type="pct"/>
            <w:vAlign w:val="bottom"/>
          </w:tcPr>
          <w:p w:rsidR="00CF2A26" w:rsidRPr="00DB75EB" w:rsidRDefault="00CF2A26" w:rsidP="00DB75EB">
            <w:pPr>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6%</w:t>
            </w:r>
          </w:p>
        </w:tc>
      </w:tr>
      <w:tr w:rsidR="00CF2A26" w:rsidRPr="000B6DD0" w:rsidTr="00CF2A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56" w:type="pct"/>
            <w:noWrap/>
          </w:tcPr>
          <w:p w:rsidR="00CF2A26" w:rsidRPr="000B6DD0" w:rsidRDefault="00CF2A26" w:rsidP="00964101">
            <w:pPr>
              <w:ind w:left="153"/>
              <w:rPr>
                <w:rFonts w:asciiTheme="minorHAnsi" w:hAnsiTheme="minorHAnsi" w:cstheme="minorHAnsi"/>
                <w:b w:val="0"/>
                <w:bCs w:val="0"/>
                <w:sz w:val="22"/>
              </w:rPr>
            </w:pPr>
            <w:r w:rsidRPr="000B6DD0">
              <w:rPr>
                <w:rFonts w:asciiTheme="minorHAnsi" w:hAnsiTheme="minorHAnsi" w:cstheme="minorHAnsi"/>
                <w:b w:val="0"/>
                <w:bCs w:val="0"/>
                <w:sz w:val="22"/>
              </w:rPr>
              <w:t>Autres (système interne, logiciels divers)</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17%</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13%</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15%</w:t>
            </w:r>
          </w:p>
        </w:tc>
        <w:tc>
          <w:tcPr>
            <w:tcW w:w="358"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15%</w:t>
            </w:r>
          </w:p>
        </w:tc>
        <w:tc>
          <w:tcPr>
            <w:tcW w:w="307" w:type="pct"/>
          </w:tcPr>
          <w:p w:rsidR="00CF2A26" w:rsidRPr="004D5963" w:rsidRDefault="00CF2A26" w:rsidP="009641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0"/>
              </w:rPr>
            </w:pPr>
            <w:r w:rsidRPr="004D5963">
              <w:rPr>
                <w:rFonts w:asciiTheme="minorHAnsi" w:hAnsiTheme="minorHAnsi" w:cstheme="minorHAnsi"/>
                <w:bCs/>
                <w:sz w:val="22"/>
                <w:szCs w:val="20"/>
              </w:rPr>
              <w:t>21%</w:t>
            </w:r>
          </w:p>
        </w:tc>
        <w:tc>
          <w:tcPr>
            <w:tcW w:w="306" w:type="pct"/>
            <w:vAlign w:val="bottom"/>
          </w:tcPr>
          <w:p w:rsidR="00CF2A26" w:rsidRPr="00DB75EB" w:rsidRDefault="00CF2A26" w:rsidP="00DB75EB">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sz w:val="22"/>
                <w:szCs w:val="20"/>
              </w:rPr>
            </w:pPr>
            <w:r w:rsidRPr="00DB75EB">
              <w:rPr>
                <w:rFonts w:asciiTheme="minorHAnsi" w:eastAsiaTheme="majorEastAsia" w:hAnsiTheme="minorHAnsi" w:cstheme="minorHAnsi"/>
                <w:bCs/>
                <w:sz w:val="22"/>
                <w:szCs w:val="20"/>
              </w:rPr>
              <w:t>15%</w:t>
            </w:r>
          </w:p>
        </w:tc>
      </w:tr>
    </w:tbl>
    <w:p w:rsidR="003C7E9D" w:rsidRPr="002436B1" w:rsidRDefault="003C7E9D" w:rsidP="002B1371">
      <w:pPr>
        <w:jc w:val="both"/>
        <w:rPr>
          <w:rFonts w:ascii="Calibri" w:hAnsi="Calibri" w:cs="Calibri"/>
        </w:rPr>
      </w:pPr>
    </w:p>
    <w:p w:rsidR="000C709B" w:rsidRPr="002436B1" w:rsidRDefault="00281FA9" w:rsidP="000C709B">
      <w:pPr>
        <w:jc w:val="both"/>
        <w:rPr>
          <w:rFonts w:ascii="Calibri" w:hAnsi="Calibri" w:cs="Calibri"/>
        </w:rPr>
      </w:pPr>
      <w:r>
        <w:rPr>
          <w:rFonts w:ascii="Calibri" w:hAnsi="Calibri" w:cs="Calibri"/>
        </w:rPr>
        <w:t>Tous secteurs confondus, p</w:t>
      </w:r>
      <w:r w:rsidR="000C709B">
        <w:rPr>
          <w:rFonts w:ascii="Calibri" w:hAnsi="Calibri" w:cs="Calibri"/>
        </w:rPr>
        <w:t>lus des trois-quarts des établissements sondés sont désormais dotés d’</w:t>
      </w:r>
      <w:r w:rsidR="002B1371" w:rsidRPr="002436B1">
        <w:rPr>
          <w:rFonts w:ascii="Calibri" w:hAnsi="Calibri" w:cs="Calibri"/>
        </w:rPr>
        <w:t>ERP</w:t>
      </w:r>
      <w:r w:rsidR="000C709B">
        <w:rPr>
          <w:rFonts w:ascii="Calibri" w:hAnsi="Calibri" w:cs="Calibri"/>
        </w:rPr>
        <w:t>, loin devant les logiciels spécialisés de gestion d’entrepôt (37% des établissements) ou de transport (27%).</w:t>
      </w:r>
      <w:r w:rsidR="002B1371" w:rsidRPr="002436B1">
        <w:rPr>
          <w:rFonts w:ascii="Calibri" w:hAnsi="Calibri" w:cs="Calibri"/>
        </w:rPr>
        <w:t xml:space="preserve"> </w:t>
      </w:r>
    </w:p>
    <w:p w:rsidR="002B1371" w:rsidRDefault="002B1371" w:rsidP="002B1371">
      <w:pPr>
        <w:jc w:val="both"/>
        <w:rPr>
          <w:rFonts w:ascii="Calibri" w:hAnsi="Calibri" w:cs="Calibri"/>
        </w:rPr>
      </w:pPr>
    </w:p>
    <w:p w:rsidR="000C709B" w:rsidRDefault="00503701" w:rsidP="002B1371">
      <w:pPr>
        <w:jc w:val="both"/>
        <w:rPr>
          <w:rFonts w:ascii="Calibri" w:hAnsi="Calibri" w:cs="Calibri"/>
        </w:rPr>
      </w:pPr>
      <w:r>
        <w:rPr>
          <w:rFonts w:ascii="Calibri" w:hAnsi="Calibri" w:cs="Calibri"/>
        </w:rPr>
        <w:t xml:space="preserve">Les dispositifs de reconnaissance vocale ne sont globalement cités que par 6% des établissements de 100 salariés et plus. Néanmoins, la proportion de prestataires transport-logistique de cette taille les ayant adoptés s’élève à 16%. </w:t>
      </w:r>
    </w:p>
    <w:p w:rsidR="000C709B" w:rsidRDefault="000C709B" w:rsidP="002B1371">
      <w:pPr>
        <w:jc w:val="both"/>
        <w:rPr>
          <w:rFonts w:ascii="Calibri" w:hAnsi="Calibri" w:cs="Calibri"/>
        </w:rPr>
      </w:pPr>
    </w:p>
    <w:p w:rsidR="008B0F9F" w:rsidRPr="008B0F9F" w:rsidRDefault="00170317" w:rsidP="008B0F9F">
      <w:pPr>
        <w:rPr>
          <w:rFonts w:ascii="Arial Black" w:hAnsi="Arial Black" w:cs="Calibri"/>
          <w:b/>
          <w:bCs/>
          <w:color w:val="632423"/>
        </w:rPr>
      </w:pPr>
      <w:r>
        <w:rPr>
          <w:rFonts w:ascii="Arial Black" w:hAnsi="Arial Black" w:cs="Calibri"/>
          <w:b/>
          <w:bCs/>
          <w:color w:val="632423"/>
        </w:rPr>
        <w:t>Les équipements de robotisation sont surtout orientés vers la préparation de commandes</w:t>
      </w:r>
    </w:p>
    <w:p w:rsidR="008B0F9F" w:rsidRDefault="008B0F9F" w:rsidP="002B1371">
      <w:pPr>
        <w:jc w:val="both"/>
        <w:rPr>
          <w:rFonts w:ascii="Calibri" w:hAnsi="Calibri" w:cs="Calibri"/>
        </w:rPr>
      </w:pPr>
    </w:p>
    <w:p w:rsidR="008B0F9F" w:rsidRDefault="008B0F9F" w:rsidP="002B1371">
      <w:pPr>
        <w:jc w:val="both"/>
        <w:rPr>
          <w:rFonts w:ascii="Calibri" w:hAnsi="Calibri" w:cs="Calibri"/>
        </w:rPr>
      </w:pPr>
    </w:p>
    <w:p w:rsidR="00281FA9" w:rsidRPr="008A15B3" w:rsidRDefault="00281FA9" w:rsidP="008A15B3">
      <w:pPr>
        <w:jc w:val="center"/>
        <w:rPr>
          <w:rFonts w:ascii="Calibri" w:hAnsi="Calibri" w:cs="Calibri"/>
          <w:b/>
          <w:bCs/>
        </w:rPr>
      </w:pPr>
      <w:r w:rsidRPr="008A15B3">
        <w:rPr>
          <w:rFonts w:ascii="Calibri" w:hAnsi="Calibri" w:cs="Calibri"/>
          <w:b/>
          <w:bCs/>
        </w:rPr>
        <w:t>Entrepôts automatisés ou équipés de robots (en % d’établissements)</w:t>
      </w:r>
    </w:p>
    <w:p w:rsidR="00562CF0" w:rsidRDefault="00562CF0" w:rsidP="002B1371">
      <w:pPr>
        <w:jc w:val="both"/>
        <w:rPr>
          <w:rFonts w:ascii="Arial" w:hAnsi="Arial" w:cs="Arial"/>
          <w:b/>
          <w:bCs/>
          <w:sz w:val="20"/>
        </w:rPr>
      </w:pPr>
    </w:p>
    <w:p w:rsidR="00562CF0" w:rsidRDefault="00562CF0" w:rsidP="00D45C4C">
      <w:pPr>
        <w:rPr>
          <w:rFonts w:ascii="Calibri" w:hAnsi="Calibri" w:cs="Calibri"/>
        </w:rPr>
      </w:pPr>
      <w:r>
        <w:rPr>
          <w:rFonts w:ascii="Calibri" w:hAnsi="Calibri" w:cs="Calibri"/>
          <w:noProof/>
        </w:rPr>
        <w:drawing>
          <wp:inline distT="0" distB="0" distL="0" distR="0" wp14:anchorId="44D10482" wp14:editId="21A6C925">
            <wp:extent cx="5886450" cy="1276350"/>
            <wp:effectExtent l="0" t="0" r="19050" b="19050"/>
            <wp:docPr id="22"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1FA9" w:rsidRDefault="00281FA9" w:rsidP="002B1371">
      <w:pPr>
        <w:jc w:val="both"/>
        <w:rPr>
          <w:rFonts w:ascii="Calibri" w:hAnsi="Calibri" w:cs="Calibri"/>
        </w:rPr>
      </w:pPr>
      <w:r>
        <w:rPr>
          <w:rFonts w:ascii="Calibri" w:hAnsi="Calibri" w:cs="Calibri"/>
        </w:rPr>
        <w:t>18% des établissements de 100 salariés et plus</w:t>
      </w:r>
      <w:r w:rsidR="00170317">
        <w:rPr>
          <w:rFonts w:ascii="Calibri" w:hAnsi="Calibri" w:cs="Calibri"/>
        </w:rPr>
        <w:t>,</w:t>
      </w:r>
      <w:r w:rsidR="00105280">
        <w:rPr>
          <w:rFonts w:ascii="Calibri" w:hAnsi="Calibri" w:cs="Calibri"/>
        </w:rPr>
        <w:t xml:space="preserve"> </w:t>
      </w:r>
      <w:r w:rsidR="00170317">
        <w:rPr>
          <w:rFonts w:ascii="Calibri" w:hAnsi="Calibri" w:cs="Calibri"/>
        </w:rPr>
        <w:t xml:space="preserve">et 8% des établissements de 50 à 99 salariés, </w:t>
      </w:r>
      <w:r w:rsidR="00105280">
        <w:rPr>
          <w:rFonts w:ascii="Calibri" w:hAnsi="Calibri" w:cs="Calibri"/>
        </w:rPr>
        <w:t xml:space="preserve">déclarent que leur entrepôt est automatisé ou </w:t>
      </w:r>
      <w:r w:rsidR="00170317">
        <w:rPr>
          <w:rFonts w:ascii="Calibri" w:hAnsi="Calibri" w:cs="Calibri"/>
        </w:rPr>
        <w:t>équipé</w:t>
      </w:r>
      <w:r w:rsidR="00105280">
        <w:rPr>
          <w:rFonts w:ascii="Calibri" w:hAnsi="Calibri" w:cs="Calibri"/>
        </w:rPr>
        <w:t xml:space="preserve"> de robots. </w:t>
      </w:r>
    </w:p>
    <w:p w:rsidR="00281FA9" w:rsidRDefault="00281FA9" w:rsidP="002B1371">
      <w:pPr>
        <w:jc w:val="both"/>
        <w:rPr>
          <w:rFonts w:ascii="Calibri" w:hAnsi="Calibri" w:cs="Calibri"/>
        </w:rPr>
      </w:pPr>
    </w:p>
    <w:p w:rsidR="00105280" w:rsidRPr="008A15B3" w:rsidRDefault="008B0F9F" w:rsidP="008A15B3">
      <w:pPr>
        <w:jc w:val="center"/>
        <w:rPr>
          <w:rFonts w:ascii="Calibri" w:hAnsi="Calibri" w:cs="Calibri"/>
          <w:b/>
          <w:bCs/>
        </w:rPr>
      </w:pPr>
      <w:r w:rsidRPr="008A15B3">
        <w:rPr>
          <w:rFonts w:ascii="Calibri" w:hAnsi="Calibri" w:cs="Calibri"/>
          <w:b/>
          <w:bCs/>
        </w:rPr>
        <w:t>Type d’équipements (en % d’établissements ayant un entrepôt automatisé ou robotisé)</w:t>
      </w:r>
    </w:p>
    <w:p w:rsidR="00D313B8" w:rsidRPr="008B0F9F" w:rsidRDefault="00D313B8" w:rsidP="002B1371">
      <w:pPr>
        <w:jc w:val="both"/>
        <w:rPr>
          <w:rFonts w:ascii="Arial" w:hAnsi="Arial" w:cs="Arial"/>
          <w:b/>
          <w:bCs/>
          <w:sz w:val="20"/>
        </w:rPr>
      </w:pPr>
    </w:p>
    <w:tbl>
      <w:tblPr>
        <w:tblStyle w:val="Trameclaire-Accent4"/>
        <w:tblW w:w="10892" w:type="dxa"/>
        <w:tblLayout w:type="fixed"/>
        <w:tblLook w:val="04A0" w:firstRow="1" w:lastRow="0" w:firstColumn="1" w:lastColumn="0" w:noHBand="0" w:noVBand="1"/>
      </w:tblPr>
      <w:tblGrid>
        <w:gridCol w:w="3794"/>
        <w:gridCol w:w="2366"/>
        <w:gridCol w:w="2366"/>
        <w:gridCol w:w="2366"/>
      </w:tblGrid>
      <w:tr w:rsidR="008B0F9F" w:rsidRPr="00D313B8" w:rsidTr="00D45C4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794" w:type="dxa"/>
            <w:noWrap/>
            <w:hideMark/>
          </w:tcPr>
          <w:p w:rsidR="008B0F9F" w:rsidRPr="00D313B8" w:rsidRDefault="008B0F9F">
            <w:pPr>
              <w:rPr>
                <w:rFonts w:ascii="Calibri" w:hAnsi="Calibri" w:cs="Calibri"/>
                <w:b w:val="0"/>
                <w:color w:val="000000"/>
                <w:sz w:val="22"/>
                <w:szCs w:val="22"/>
              </w:rPr>
            </w:pPr>
          </w:p>
        </w:tc>
        <w:tc>
          <w:tcPr>
            <w:tcW w:w="2366" w:type="dxa"/>
            <w:noWrap/>
            <w:hideMark/>
          </w:tcPr>
          <w:p w:rsidR="008B0F9F" w:rsidRPr="00D313B8" w:rsidRDefault="008B0F9F" w:rsidP="00D313B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D313B8">
              <w:rPr>
                <w:rFonts w:ascii="Calibri" w:hAnsi="Calibri" w:cs="Calibri"/>
                <w:b w:val="0"/>
                <w:color w:val="000000"/>
                <w:sz w:val="22"/>
                <w:szCs w:val="22"/>
              </w:rPr>
              <w:t xml:space="preserve">100 </w:t>
            </w:r>
            <w:r w:rsidR="00D313B8">
              <w:rPr>
                <w:rFonts w:ascii="Calibri" w:hAnsi="Calibri" w:cs="Calibri"/>
                <w:b w:val="0"/>
                <w:color w:val="000000"/>
                <w:sz w:val="22"/>
                <w:szCs w:val="22"/>
              </w:rPr>
              <w:t>salariés et plus</w:t>
            </w:r>
          </w:p>
        </w:tc>
        <w:tc>
          <w:tcPr>
            <w:tcW w:w="2366" w:type="dxa"/>
            <w:noWrap/>
            <w:hideMark/>
          </w:tcPr>
          <w:p w:rsidR="008B0F9F" w:rsidRPr="00D313B8" w:rsidRDefault="00D313B8" w:rsidP="00D313B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Pr>
                <w:rFonts w:ascii="Calibri" w:hAnsi="Calibri" w:cs="Calibri"/>
                <w:b w:val="0"/>
                <w:color w:val="000000"/>
                <w:sz w:val="22"/>
                <w:szCs w:val="22"/>
              </w:rPr>
              <w:t xml:space="preserve">De </w:t>
            </w:r>
            <w:r w:rsidR="008B0F9F" w:rsidRPr="00D313B8">
              <w:rPr>
                <w:rFonts w:ascii="Calibri" w:hAnsi="Calibri" w:cs="Calibri"/>
                <w:b w:val="0"/>
                <w:color w:val="000000"/>
                <w:sz w:val="22"/>
                <w:szCs w:val="22"/>
              </w:rPr>
              <w:t xml:space="preserve">50 </w:t>
            </w:r>
            <w:r>
              <w:rPr>
                <w:rFonts w:ascii="Calibri" w:hAnsi="Calibri" w:cs="Calibri"/>
                <w:b w:val="0"/>
                <w:color w:val="000000"/>
                <w:sz w:val="22"/>
                <w:szCs w:val="22"/>
              </w:rPr>
              <w:t xml:space="preserve">à </w:t>
            </w:r>
            <w:r w:rsidR="008B0F9F" w:rsidRPr="00D313B8">
              <w:rPr>
                <w:rFonts w:ascii="Calibri" w:hAnsi="Calibri" w:cs="Calibri"/>
                <w:b w:val="0"/>
                <w:color w:val="000000"/>
                <w:sz w:val="22"/>
                <w:szCs w:val="22"/>
              </w:rPr>
              <w:t>99</w:t>
            </w:r>
            <w:r>
              <w:rPr>
                <w:rFonts w:ascii="Calibri" w:hAnsi="Calibri" w:cs="Calibri"/>
                <w:b w:val="0"/>
                <w:color w:val="000000"/>
                <w:sz w:val="22"/>
                <w:szCs w:val="22"/>
              </w:rPr>
              <w:t xml:space="preserve"> salariés</w:t>
            </w:r>
          </w:p>
        </w:tc>
        <w:tc>
          <w:tcPr>
            <w:tcW w:w="2366" w:type="dxa"/>
            <w:noWrap/>
            <w:hideMark/>
          </w:tcPr>
          <w:p w:rsidR="008B0F9F" w:rsidRPr="00D313B8" w:rsidRDefault="008B0F9F" w:rsidP="00D313B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D313B8">
              <w:rPr>
                <w:rFonts w:ascii="Calibri" w:hAnsi="Calibri" w:cs="Calibri"/>
                <w:b w:val="0"/>
                <w:color w:val="000000"/>
                <w:sz w:val="22"/>
                <w:szCs w:val="22"/>
              </w:rPr>
              <w:t>Total</w:t>
            </w:r>
          </w:p>
        </w:tc>
      </w:tr>
      <w:tr w:rsidR="008B0F9F" w:rsidRPr="00D313B8" w:rsidTr="00D45C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794" w:type="dxa"/>
            <w:noWrap/>
            <w:hideMark/>
          </w:tcPr>
          <w:p w:rsidR="008B0F9F" w:rsidRPr="00D313B8" w:rsidRDefault="008B0F9F">
            <w:pPr>
              <w:rPr>
                <w:rFonts w:ascii="Calibri" w:hAnsi="Calibri" w:cs="Calibri"/>
                <w:b w:val="0"/>
                <w:color w:val="000000"/>
                <w:sz w:val="22"/>
                <w:szCs w:val="22"/>
              </w:rPr>
            </w:pPr>
            <w:r w:rsidRPr="00D313B8">
              <w:rPr>
                <w:rFonts w:ascii="Calibri" w:hAnsi="Calibri" w:cs="Calibri"/>
                <w:b w:val="0"/>
                <w:color w:val="000000"/>
                <w:sz w:val="22"/>
                <w:szCs w:val="22"/>
              </w:rPr>
              <w:t>Trans</w:t>
            </w:r>
            <w:r w:rsidR="005C6F1B">
              <w:rPr>
                <w:rFonts w:ascii="Calibri" w:hAnsi="Calibri" w:cs="Calibri"/>
                <w:b w:val="0"/>
                <w:color w:val="000000"/>
                <w:sz w:val="22"/>
                <w:szCs w:val="22"/>
              </w:rPr>
              <w:t>s</w:t>
            </w:r>
            <w:r w:rsidRPr="00D313B8">
              <w:rPr>
                <w:rFonts w:ascii="Calibri" w:hAnsi="Calibri" w:cs="Calibri"/>
                <w:b w:val="0"/>
                <w:color w:val="000000"/>
                <w:sz w:val="22"/>
                <w:szCs w:val="22"/>
              </w:rPr>
              <w:t>tockeurs</w:t>
            </w:r>
          </w:p>
        </w:tc>
        <w:tc>
          <w:tcPr>
            <w:tcW w:w="2366" w:type="dxa"/>
            <w:noWrap/>
            <w:hideMark/>
          </w:tcPr>
          <w:p w:rsidR="008B0F9F" w:rsidRPr="00D313B8" w:rsidRDefault="008B0F9F" w:rsidP="00D313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44%</w:t>
            </w:r>
          </w:p>
        </w:tc>
        <w:tc>
          <w:tcPr>
            <w:tcW w:w="2366" w:type="dxa"/>
            <w:noWrap/>
            <w:hideMark/>
          </w:tcPr>
          <w:p w:rsidR="008B0F9F" w:rsidRPr="00D313B8" w:rsidRDefault="008B0F9F" w:rsidP="00D313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0%</w:t>
            </w:r>
          </w:p>
        </w:tc>
        <w:tc>
          <w:tcPr>
            <w:tcW w:w="2366" w:type="dxa"/>
            <w:noWrap/>
            <w:hideMark/>
          </w:tcPr>
          <w:p w:rsidR="008B0F9F" w:rsidRPr="00D313B8" w:rsidRDefault="008B0F9F" w:rsidP="00D313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34%</w:t>
            </w:r>
          </w:p>
        </w:tc>
      </w:tr>
      <w:tr w:rsidR="008B0F9F" w:rsidRPr="00D313B8" w:rsidTr="00D45C4C">
        <w:trPr>
          <w:trHeight w:val="225"/>
        </w:trPr>
        <w:tc>
          <w:tcPr>
            <w:cnfStyle w:val="001000000000" w:firstRow="0" w:lastRow="0" w:firstColumn="1" w:lastColumn="0" w:oddVBand="0" w:evenVBand="0" w:oddHBand="0" w:evenHBand="0" w:firstRowFirstColumn="0" w:firstRowLastColumn="0" w:lastRowFirstColumn="0" w:lastRowLastColumn="0"/>
            <w:tcW w:w="3794" w:type="dxa"/>
            <w:noWrap/>
            <w:hideMark/>
          </w:tcPr>
          <w:p w:rsidR="008B0F9F" w:rsidRPr="00D313B8" w:rsidRDefault="008B0F9F">
            <w:pPr>
              <w:rPr>
                <w:rFonts w:ascii="Calibri" w:hAnsi="Calibri" w:cs="Calibri"/>
                <w:b w:val="0"/>
                <w:color w:val="000000"/>
                <w:sz w:val="22"/>
                <w:szCs w:val="22"/>
              </w:rPr>
            </w:pPr>
            <w:r w:rsidRPr="00D313B8">
              <w:rPr>
                <w:rFonts w:ascii="Calibri" w:hAnsi="Calibri" w:cs="Calibri"/>
                <w:b w:val="0"/>
                <w:color w:val="000000"/>
                <w:sz w:val="22"/>
                <w:szCs w:val="22"/>
              </w:rPr>
              <w:t>Convoyeurs automatiques</w:t>
            </w:r>
          </w:p>
        </w:tc>
        <w:tc>
          <w:tcPr>
            <w:tcW w:w="2366" w:type="dxa"/>
            <w:noWrap/>
            <w:hideMark/>
          </w:tcPr>
          <w:p w:rsidR="008B0F9F" w:rsidRPr="00D313B8" w:rsidRDefault="008B0F9F" w:rsidP="00D313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54%</w:t>
            </w:r>
          </w:p>
        </w:tc>
        <w:tc>
          <w:tcPr>
            <w:tcW w:w="2366" w:type="dxa"/>
            <w:noWrap/>
            <w:hideMark/>
          </w:tcPr>
          <w:p w:rsidR="008B0F9F" w:rsidRPr="00D313B8" w:rsidRDefault="008B0F9F" w:rsidP="00D313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39%</w:t>
            </w:r>
          </w:p>
        </w:tc>
        <w:tc>
          <w:tcPr>
            <w:tcW w:w="2366" w:type="dxa"/>
            <w:noWrap/>
            <w:hideMark/>
          </w:tcPr>
          <w:p w:rsidR="008B0F9F" w:rsidRPr="00D313B8" w:rsidRDefault="008B0F9F" w:rsidP="00D313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51%</w:t>
            </w:r>
          </w:p>
        </w:tc>
      </w:tr>
      <w:tr w:rsidR="008B0F9F" w:rsidRPr="00D313B8" w:rsidTr="00D45C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794" w:type="dxa"/>
            <w:noWrap/>
            <w:hideMark/>
          </w:tcPr>
          <w:p w:rsidR="008B0F9F" w:rsidRPr="00D313B8" w:rsidRDefault="008B0F9F">
            <w:pPr>
              <w:rPr>
                <w:rFonts w:ascii="Calibri" w:hAnsi="Calibri" w:cs="Calibri"/>
                <w:b w:val="0"/>
                <w:color w:val="000000"/>
                <w:sz w:val="22"/>
                <w:szCs w:val="22"/>
              </w:rPr>
            </w:pPr>
            <w:r w:rsidRPr="00D313B8">
              <w:rPr>
                <w:rFonts w:ascii="Calibri" w:hAnsi="Calibri" w:cs="Calibri"/>
                <w:b w:val="0"/>
                <w:color w:val="000000"/>
                <w:sz w:val="22"/>
                <w:szCs w:val="22"/>
              </w:rPr>
              <w:t>Systèmes de robotisation d'activités</w:t>
            </w:r>
          </w:p>
        </w:tc>
        <w:tc>
          <w:tcPr>
            <w:tcW w:w="2366" w:type="dxa"/>
            <w:noWrap/>
            <w:hideMark/>
          </w:tcPr>
          <w:p w:rsidR="008B0F9F" w:rsidRPr="00D313B8" w:rsidRDefault="008B0F9F" w:rsidP="00D313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77%</w:t>
            </w:r>
          </w:p>
        </w:tc>
        <w:tc>
          <w:tcPr>
            <w:tcW w:w="2366" w:type="dxa"/>
            <w:noWrap/>
            <w:hideMark/>
          </w:tcPr>
          <w:p w:rsidR="008B0F9F" w:rsidRPr="00D313B8" w:rsidRDefault="008B0F9F" w:rsidP="00D313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83%</w:t>
            </w:r>
          </w:p>
        </w:tc>
        <w:tc>
          <w:tcPr>
            <w:tcW w:w="2366" w:type="dxa"/>
            <w:noWrap/>
            <w:hideMark/>
          </w:tcPr>
          <w:p w:rsidR="008B0F9F" w:rsidRPr="00D313B8" w:rsidRDefault="008B0F9F" w:rsidP="00D313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78%</w:t>
            </w:r>
          </w:p>
        </w:tc>
      </w:tr>
      <w:tr w:rsidR="008B0F9F" w:rsidRPr="00D313B8" w:rsidTr="00D45C4C">
        <w:trPr>
          <w:trHeight w:val="225"/>
        </w:trPr>
        <w:tc>
          <w:tcPr>
            <w:cnfStyle w:val="001000000000" w:firstRow="0" w:lastRow="0" w:firstColumn="1" w:lastColumn="0" w:oddVBand="0" w:evenVBand="0" w:oddHBand="0" w:evenHBand="0" w:firstRowFirstColumn="0" w:firstRowLastColumn="0" w:lastRowFirstColumn="0" w:lastRowLastColumn="0"/>
            <w:tcW w:w="3794" w:type="dxa"/>
            <w:noWrap/>
            <w:hideMark/>
          </w:tcPr>
          <w:p w:rsidR="008B0F9F" w:rsidRPr="00D313B8" w:rsidRDefault="008B0F9F">
            <w:pPr>
              <w:rPr>
                <w:rFonts w:ascii="Calibri" w:hAnsi="Calibri" w:cs="Calibri"/>
                <w:b w:val="0"/>
                <w:color w:val="000000"/>
                <w:sz w:val="22"/>
                <w:szCs w:val="22"/>
              </w:rPr>
            </w:pPr>
            <w:r w:rsidRPr="00D313B8">
              <w:rPr>
                <w:rFonts w:ascii="Calibri" w:hAnsi="Calibri" w:cs="Calibri"/>
                <w:b w:val="0"/>
                <w:color w:val="000000"/>
                <w:sz w:val="22"/>
                <w:szCs w:val="22"/>
              </w:rPr>
              <w:t>Autres</w:t>
            </w:r>
          </w:p>
        </w:tc>
        <w:tc>
          <w:tcPr>
            <w:tcW w:w="2366" w:type="dxa"/>
            <w:noWrap/>
            <w:hideMark/>
          </w:tcPr>
          <w:p w:rsidR="008B0F9F" w:rsidRPr="00D313B8" w:rsidRDefault="008B0F9F" w:rsidP="00D313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4%</w:t>
            </w:r>
          </w:p>
        </w:tc>
        <w:tc>
          <w:tcPr>
            <w:tcW w:w="2366" w:type="dxa"/>
            <w:noWrap/>
            <w:hideMark/>
          </w:tcPr>
          <w:p w:rsidR="008B0F9F" w:rsidRPr="00D313B8" w:rsidRDefault="008B0F9F" w:rsidP="00D313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52%</w:t>
            </w:r>
          </w:p>
        </w:tc>
        <w:tc>
          <w:tcPr>
            <w:tcW w:w="2366" w:type="dxa"/>
            <w:noWrap/>
            <w:hideMark/>
          </w:tcPr>
          <w:p w:rsidR="008B0F9F" w:rsidRPr="00D313B8" w:rsidRDefault="008B0F9F" w:rsidP="00D313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313B8">
              <w:rPr>
                <w:rFonts w:ascii="Calibri" w:hAnsi="Calibri" w:cs="Calibri"/>
                <w:color w:val="000000"/>
                <w:sz w:val="22"/>
                <w:szCs w:val="22"/>
              </w:rPr>
              <w:t>15%</w:t>
            </w:r>
          </w:p>
        </w:tc>
      </w:tr>
    </w:tbl>
    <w:p w:rsidR="00105280" w:rsidRDefault="00105280" w:rsidP="002B1371">
      <w:pPr>
        <w:jc w:val="both"/>
        <w:rPr>
          <w:rFonts w:ascii="Calibri" w:hAnsi="Calibri" w:cs="Calibri"/>
        </w:rPr>
      </w:pPr>
    </w:p>
    <w:p w:rsidR="00105280" w:rsidRDefault="008B0F9F" w:rsidP="002B1371">
      <w:pPr>
        <w:jc w:val="both"/>
        <w:rPr>
          <w:rFonts w:ascii="Calibri" w:hAnsi="Calibri" w:cs="Calibri"/>
        </w:rPr>
      </w:pPr>
      <w:r>
        <w:rPr>
          <w:rFonts w:ascii="Calibri" w:hAnsi="Calibri" w:cs="Calibri"/>
        </w:rPr>
        <w:t>Parmi eux, un tiers dispose de trans</w:t>
      </w:r>
      <w:r w:rsidR="005C6F1B">
        <w:rPr>
          <w:rFonts w:ascii="Calibri" w:hAnsi="Calibri" w:cs="Calibri"/>
        </w:rPr>
        <w:t>s</w:t>
      </w:r>
      <w:r>
        <w:rPr>
          <w:rFonts w:ascii="Calibri" w:hAnsi="Calibri" w:cs="Calibri"/>
        </w:rPr>
        <w:t>tockeurs</w:t>
      </w:r>
      <w:r w:rsidR="00260FEC">
        <w:rPr>
          <w:rFonts w:ascii="Calibri" w:hAnsi="Calibri" w:cs="Calibri"/>
        </w:rPr>
        <w:t xml:space="preserve"> (</w:t>
      </w:r>
      <w:r w:rsidR="00260FEC" w:rsidRPr="00F92A5E">
        <w:rPr>
          <w:rFonts w:ascii="Calibri" w:hAnsi="Calibri" w:cs="Calibri"/>
        </w:rPr>
        <w:t>dispositif qui permet de ranger des </w:t>
      </w:r>
      <w:hyperlink r:id="rId21" w:tooltip="Palette" w:history="1">
        <w:r w:rsidR="00260FEC" w:rsidRPr="00F92A5E">
          <w:rPr>
            <w:rFonts w:ascii="Calibri" w:hAnsi="Calibri" w:cs="Calibri"/>
          </w:rPr>
          <w:t>palettes</w:t>
        </w:r>
      </w:hyperlink>
      <w:r w:rsidR="00260FEC" w:rsidRPr="00F92A5E">
        <w:rPr>
          <w:rFonts w:ascii="Calibri" w:hAnsi="Calibri" w:cs="Calibri"/>
        </w:rPr>
        <w:t> ou des </w:t>
      </w:r>
      <w:hyperlink r:id="rId22" w:tooltip="Colis" w:history="1">
        <w:r w:rsidR="00260FEC" w:rsidRPr="00F92A5E">
          <w:rPr>
            <w:rFonts w:ascii="Calibri" w:hAnsi="Calibri" w:cs="Calibri"/>
          </w:rPr>
          <w:t>colis</w:t>
        </w:r>
      </w:hyperlink>
      <w:r w:rsidR="00260FEC" w:rsidRPr="00F92A5E">
        <w:rPr>
          <w:rFonts w:ascii="Calibri" w:hAnsi="Calibri" w:cs="Calibri"/>
        </w:rPr>
        <w:t> dans un </w:t>
      </w:r>
      <w:hyperlink r:id="rId23" w:tooltip="Palettier" w:history="1">
        <w:r w:rsidR="00260FEC" w:rsidRPr="00F92A5E">
          <w:rPr>
            <w:rFonts w:ascii="Calibri" w:hAnsi="Calibri" w:cs="Calibri"/>
          </w:rPr>
          <w:t>rack</w:t>
        </w:r>
      </w:hyperlink>
      <w:r w:rsidR="00260FEC" w:rsidRPr="00F92A5E">
        <w:rPr>
          <w:rFonts w:ascii="Calibri" w:hAnsi="Calibri" w:cs="Calibri"/>
        </w:rPr>
        <w:t>, souvent à grande hauteur)</w:t>
      </w:r>
      <w:r>
        <w:rPr>
          <w:rFonts w:ascii="Calibri" w:hAnsi="Calibri" w:cs="Calibri"/>
        </w:rPr>
        <w:t>, la moitié de convoyeurs automatiques</w:t>
      </w:r>
      <w:r w:rsidR="00260FEC" w:rsidRPr="00F92A5E">
        <w:rPr>
          <w:rFonts w:ascii="Calibri" w:hAnsi="Calibri" w:cs="Calibri"/>
        </w:rPr>
        <w:t xml:space="preserve"> </w:t>
      </w:r>
      <w:r w:rsidR="00F92A5E" w:rsidRPr="00F92A5E">
        <w:rPr>
          <w:rFonts w:ascii="Calibri" w:hAnsi="Calibri" w:cs="Calibri"/>
        </w:rPr>
        <w:t xml:space="preserve">(qui </w:t>
      </w:r>
      <w:r w:rsidR="00260FEC" w:rsidRPr="00F92A5E">
        <w:rPr>
          <w:rFonts w:ascii="Calibri" w:hAnsi="Calibri" w:cs="Calibri"/>
        </w:rPr>
        <w:t>permettent de déplacer</w:t>
      </w:r>
      <w:r w:rsidR="00F92A5E" w:rsidRPr="00F92A5E">
        <w:rPr>
          <w:rFonts w:ascii="Calibri" w:hAnsi="Calibri" w:cs="Calibri"/>
        </w:rPr>
        <w:t xml:space="preserve"> </w:t>
      </w:r>
      <w:r w:rsidR="00260FEC" w:rsidRPr="00F92A5E">
        <w:rPr>
          <w:rFonts w:ascii="Calibri" w:hAnsi="Calibri" w:cs="Calibri"/>
        </w:rPr>
        <w:t>tous types de produits, en vrac ou conditionnés</w:t>
      </w:r>
      <w:r w:rsidR="00F92A5E" w:rsidRPr="00F92A5E">
        <w:rPr>
          <w:rFonts w:ascii="Calibri" w:hAnsi="Calibri" w:cs="Calibri"/>
        </w:rPr>
        <w:t>,</w:t>
      </w:r>
      <w:r w:rsidR="00260FEC" w:rsidRPr="00F92A5E">
        <w:rPr>
          <w:rFonts w:ascii="Calibri" w:hAnsi="Calibri" w:cs="Calibri"/>
        </w:rPr>
        <w:t xml:space="preserve"> </w:t>
      </w:r>
      <w:r w:rsidR="00F92A5E">
        <w:rPr>
          <w:rFonts w:ascii="Calibri" w:hAnsi="Calibri" w:cs="Calibri"/>
        </w:rPr>
        <w:t xml:space="preserve">et de supports de charge, </w:t>
      </w:r>
      <w:r w:rsidR="00260FEC" w:rsidRPr="00F92A5E">
        <w:rPr>
          <w:rFonts w:ascii="Calibri" w:hAnsi="Calibri" w:cs="Calibri"/>
        </w:rPr>
        <w:t>dans une installation)</w:t>
      </w:r>
      <w:r w:rsidR="00FF4209">
        <w:rPr>
          <w:rFonts w:ascii="Calibri" w:hAnsi="Calibri" w:cs="Calibri"/>
        </w:rPr>
        <w:t>,</w:t>
      </w:r>
      <w:r>
        <w:rPr>
          <w:rFonts w:ascii="Calibri" w:hAnsi="Calibri" w:cs="Calibri"/>
        </w:rPr>
        <w:t xml:space="preserve"> et plus des trois-quarts de systèmes de robotisation d’activité</w:t>
      </w:r>
      <w:r w:rsidR="00170317">
        <w:rPr>
          <w:rFonts w:ascii="Calibri" w:hAnsi="Calibri" w:cs="Calibri"/>
        </w:rPr>
        <w:t>s</w:t>
      </w:r>
      <w:r w:rsidR="00FF4209">
        <w:rPr>
          <w:rFonts w:ascii="Calibri" w:hAnsi="Calibri" w:cs="Calibri"/>
        </w:rPr>
        <w:t xml:space="preserve">, lesquels servent </w:t>
      </w:r>
      <w:r w:rsidR="00170317">
        <w:rPr>
          <w:rFonts w:ascii="Calibri" w:hAnsi="Calibri" w:cs="Calibri"/>
        </w:rPr>
        <w:t xml:space="preserve">quatre fois sur dix </w:t>
      </w:r>
      <w:r>
        <w:rPr>
          <w:rFonts w:ascii="Calibri" w:hAnsi="Calibri" w:cs="Calibri"/>
        </w:rPr>
        <w:t>pour de la préparation de commandes, et dans une moindre mesure pour la palettisation</w:t>
      </w:r>
      <w:r w:rsidR="00170317">
        <w:rPr>
          <w:rFonts w:ascii="Calibri" w:hAnsi="Calibri" w:cs="Calibri"/>
        </w:rPr>
        <w:t xml:space="preserve"> et</w:t>
      </w:r>
      <w:r>
        <w:rPr>
          <w:rFonts w:ascii="Calibri" w:hAnsi="Calibri" w:cs="Calibri"/>
        </w:rPr>
        <w:t xml:space="preserve"> le chargement.</w:t>
      </w:r>
    </w:p>
    <w:p w:rsidR="00105280" w:rsidRDefault="00105280" w:rsidP="002B1371">
      <w:pPr>
        <w:jc w:val="both"/>
        <w:rPr>
          <w:rFonts w:ascii="Calibri" w:hAnsi="Calibri" w:cs="Calibri"/>
        </w:rPr>
      </w:pPr>
    </w:p>
    <w:p w:rsidR="00206D9A" w:rsidRDefault="00206D9A" w:rsidP="002B1371">
      <w:pPr>
        <w:jc w:val="both"/>
        <w:rPr>
          <w:rFonts w:ascii="Calibri" w:hAnsi="Calibri" w:cs="Calibri"/>
        </w:rPr>
      </w:pPr>
    </w:p>
    <w:p w:rsidR="00170317" w:rsidRPr="00206D9A" w:rsidRDefault="008A15B3" w:rsidP="00206D9A">
      <w:pPr>
        <w:rPr>
          <w:rFonts w:ascii="Arial Black" w:hAnsi="Arial Black" w:cs="Calibri"/>
          <w:b/>
          <w:bCs/>
          <w:color w:val="632423"/>
        </w:rPr>
      </w:pPr>
      <w:r>
        <w:rPr>
          <w:rFonts w:ascii="Arial Black" w:hAnsi="Arial Black" w:cs="Calibri"/>
          <w:b/>
          <w:bCs/>
          <w:color w:val="632423"/>
        </w:rPr>
        <w:t xml:space="preserve">Des équipements qui </w:t>
      </w:r>
      <w:r w:rsidR="00206D9A" w:rsidRPr="00206D9A">
        <w:rPr>
          <w:rFonts w:ascii="Arial Black" w:hAnsi="Arial Black" w:cs="Calibri"/>
          <w:b/>
          <w:bCs/>
          <w:color w:val="632423"/>
        </w:rPr>
        <w:t>auraient un impact bénéfique sur les conditions de travail</w:t>
      </w:r>
    </w:p>
    <w:p w:rsidR="00206D9A" w:rsidRDefault="00206D9A" w:rsidP="002B1371">
      <w:pPr>
        <w:jc w:val="both"/>
        <w:rPr>
          <w:rFonts w:ascii="Calibri" w:hAnsi="Calibri" w:cs="Calibri"/>
        </w:rPr>
      </w:pPr>
    </w:p>
    <w:p w:rsidR="00206D9A" w:rsidRPr="008A15B3" w:rsidRDefault="00206D9A" w:rsidP="008A15B3">
      <w:pPr>
        <w:jc w:val="center"/>
        <w:rPr>
          <w:rFonts w:ascii="Calibri" w:hAnsi="Calibri" w:cs="Calibri"/>
          <w:b/>
          <w:bCs/>
        </w:rPr>
      </w:pPr>
      <w:r w:rsidRPr="008A15B3">
        <w:rPr>
          <w:rFonts w:ascii="Calibri" w:hAnsi="Calibri" w:cs="Calibri"/>
          <w:b/>
          <w:bCs/>
        </w:rPr>
        <w:t>Effets de ces équipements (en % d’établissements ayant un entrepôt automatisé ou robotisé)</w:t>
      </w:r>
    </w:p>
    <w:p w:rsidR="00D313B8" w:rsidRDefault="00D313B8" w:rsidP="002B1371">
      <w:pPr>
        <w:jc w:val="both"/>
        <w:rPr>
          <w:rFonts w:ascii="Arial" w:hAnsi="Arial" w:cs="Arial"/>
          <w:b/>
          <w:bCs/>
          <w:sz w:val="20"/>
        </w:rPr>
      </w:pPr>
    </w:p>
    <w:p w:rsidR="00D313B8" w:rsidRDefault="00D55CAE" w:rsidP="002B1371">
      <w:pPr>
        <w:jc w:val="both"/>
        <w:rPr>
          <w:rFonts w:ascii="Arial" w:hAnsi="Arial" w:cs="Arial"/>
          <w:b/>
          <w:bCs/>
          <w:sz w:val="20"/>
        </w:rPr>
      </w:pPr>
      <w:r>
        <w:rPr>
          <w:rFonts w:ascii="Arial" w:hAnsi="Arial" w:cs="Arial"/>
          <w:b/>
          <w:bCs/>
          <w:noProof/>
          <w:sz w:val="20"/>
        </w:rPr>
        <w:drawing>
          <wp:inline distT="0" distB="0" distL="0" distR="0" wp14:anchorId="167F42B9" wp14:editId="2B2F621D">
            <wp:extent cx="9439275" cy="3200400"/>
            <wp:effectExtent l="0" t="0" r="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0317" w:rsidRDefault="00170317" w:rsidP="002B1371">
      <w:pPr>
        <w:jc w:val="both"/>
        <w:rPr>
          <w:rFonts w:ascii="Calibri" w:hAnsi="Calibri" w:cs="Calibri"/>
        </w:rPr>
      </w:pPr>
    </w:p>
    <w:p w:rsidR="00170317" w:rsidRDefault="00206D9A" w:rsidP="002B1371">
      <w:pPr>
        <w:jc w:val="both"/>
        <w:rPr>
          <w:rFonts w:ascii="Calibri" w:hAnsi="Calibri" w:cs="Calibri"/>
        </w:rPr>
      </w:pPr>
      <w:r>
        <w:rPr>
          <w:rFonts w:ascii="Calibri" w:hAnsi="Calibri" w:cs="Calibri"/>
        </w:rPr>
        <w:t xml:space="preserve">D’après les personnes interviewées, l’automatisation des entrepôts, ou l’introduction de robots dans les entrepôts, a induit une réduction de la pénibilité des tâches de travail dans les trois-quarts des cas. </w:t>
      </w:r>
      <w:r w:rsidR="008A15B3">
        <w:rPr>
          <w:rFonts w:ascii="Calibri" w:hAnsi="Calibri" w:cs="Calibri"/>
        </w:rPr>
        <w:t>Trois</w:t>
      </w:r>
      <w:r w:rsidR="00E911CA">
        <w:rPr>
          <w:rFonts w:ascii="Calibri" w:hAnsi="Calibri" w:cs="Calibri"/>
        </w:rPr>
        <w:t xml:space="preserve"> fois sur </w:t>
      </w:r>
      <w:r w:rsidR="008A15B3">
        <w:rPr>
          <w:rFonts w:ascii="Calibri" w:hAnsi="Calibri" w:cs="Calibri"/>
        </w:rPr>
        <w:t>cinq</w:t>
      </w:r>
      <w:r w:rsidR="00E911CA">
        <w:rPr>
          <w:rFonts w:ascii="Calibri" w:hAnsi="Calibri" w:cs="Calibri"/>
        </w:rPr>
        <w:t xml:space="preserve">, la sécurité s’est également améliorée. </w:t>
      </w:r>
    </w:p>
    <w:p w:rsidR="00E911CA" w:rsidRDefault="00E911CA" w:rsidP="002B1371">
      <w:pPr>
        <w:jc w:val="both"/>
        <w:rPr>
          <w:rFonts w:ascii="Calibri" w:hAnsi="Calibri" w:cs="Calibri"/>
        </w:rPr>
      </w:pPr>
    </w:p>
    <w:p w:rsidR="00206D9A" w:rsidRDefault="00FF4209" w:rsidP="002B1371">
      <w:pPr>
        <w:jc w:val="both"/>
        <w:rPr>
          <w:rFonts w:ascii="Calibri" w:hAnsi="Calibri" w:cs="Calibri"/>
        </w:rPr>
      </w:pPr>
      <w:r>
        <w:rPr>
          <w:rFonts w:ascii="Calibri" w:hAnsi="Calibri" w:cs="Calibri"/>
        </w:rPr>
        <w:t xml:space="preserve">La mise en place de ces équipements a </w:t>
      </w:r>
      <w:r w:rsidR="00F51EE1">
        <w:rPr>
          <w:rFonts w:ascii="Calibri" w:hAnsi="Calibri" w:cs="Calibri"/>
        </w:rPr>
        <w:t xml:space="preserve">eu </w:t>
      </w:r>
      <w:r>
        <w:rPr>
          <w:rFonts w:ascii="Calibri" w:hAnsi="Calibri" w:cs="Calibri"/>
        </w:rPr>
        <w:t>moins souvent un impact sur les effectifs d’emploi ou les recrutements</w:t>
      </w:r>
      <w:r w:rsidR="00F51EE1">
        <w:rPr>
          <w:rFonts w:ascii="Calibri" w:hAnsi="Calibri" w:cs="Calibri"/>
        </w:rPr>
        <w:t xml:space="preserve"> : à la suite de leur implémentation, </w:t>
      </w:r>
      <w:r w:rsidR="00C5293D">
        <w:rPr>
          <w:rFonts w:ascii="Calibri" w:hAnsi="Calibri" w:cs="Calibri"/>
        </w:rPr>
        <w:t xml:space="preserve">deux fois sur cinq </w:t>
      </w:r>
      <w:r w:rsidR="00F51EE1">
        <w:rPr>
          <w:rFonts w:ascii="Calibri" w:hAnsi="Calibri" w:cs="Calibri"/>
        </w:rPr>
        <w:t xml:space="preserve">les effectifs salariés se sont </w:t>
      </w:r>
      <w:r w:rsidR="008A15B3">
        <w:rPr>
          <w:rFonts w:ascii="Calibri" w:hAnsi="Calibri" w:cs="Calibri"/>
        </w:rPr>
        <w:t>réduits</w:t>
      </w:r>
      <w:r w:rsidR="00F51EE1">
        <w:rPr>
          <w:rFonts w:ascii="Calibri" w:hAnsi="Calibri" w:cs="Calibri"/>
        </w:rPr>
        <w:t xml:space="preserve">, et </w:t>
      </w:r>
      <w:r w:rsidR="00C5293D">
        <w:rPr>
          <w:rFonts w:ascii="Calibri" w:hAnsi="Calibri" w:cs="Calibri"/>
        </w:rPr>
        <w:t xml:space="preserve">une fois sur cinq </w:t>
      </w:r>
      <w:r w:rsidR="00F51EE1">
        <w:rPr>
          <w:rFonts w:ascii="Calibri" w:hAnsi="Calibri" w:cs="Calibri"/>
        </w:rPr>
        <w:t>les recrutements ont été moindres.</w:t>
      </w:r>
    </w:p>
    <w:p w:rsidR="00206D9A" w:rsidRPr="002436B1" w:rsidRDefault="00206D9A" w:rsidP="002B1371">
      <w:pPr>
        <w:jc w:val="both"/>
        <w:rPr>
          <w:rFonts w:ascii="Calibri" w:hAnsi="Calibri" w:cs="Calibri"/>
        </w:rPr>
      </w:pPr>
    </w:p>
    <w:p w:rsidR="00183195" w:rsidRDefault="00183195">
      <w:pPr>
        <w:rPr>
          <w:rFonts w:ascii="Calibri" w:hAnsi="Calibri" w:cs="Calibri"/>
          <w:b/>
          <w:bCs/>
          <w:color w:val="4F6228"/>
          <w:sz w:val="32"/>
          <w:szCs w:val="32"/>
          <w:highlight w:val="lightGray"/>
        </w:rPr>
      </w:pPr>
      <w:r>
        <w:rPr>
          <w:rFonts w:ascii="Calibri" w:hAnsi="Calibri" w:cs="Calibri"/>
          <w:b/>
          <w:bCs/>
          <w:color w:val="4F6228"/>
          <w:sz w:val="32"/>
          <w:szCs w:val="32"/>
          <w:highlight w:val="lightGray"/>
        </w:rPr>
        <w:br w:type="page"/>
      </w:r>
    </w:p>
    <w:p w:rsidR="00091EC3" w:rsidRDefault="00091EC3">
      <w:pPr>
        <w:rPr>
          <w:rFonts w:ascii="Calibri" w:hAnsi="Calibri" w:cs="Calibri"/>
          <w:b/>
          <w:bCs/>
          <w:color w:val="4F6228"/>
          <w:sz w:val="32"/>
          <w:szCs w:val="32"/>
          <w:highlight w:val="lightGray"/>
        </w:rPr>
      </w:pPr>
    </w:p>
    <w:p w:rsidR="002B1371" w:rsidRPr="0011478C" w:rsidRDefault="002B1371" w:rsidP="0011478C">
      <w:pPr>
        <w:numPr>
          <w:ilvl w:val="1"/>
          <w:numId w:val="8"/>
        </w:numPr>
        <w:rPr>
          <w:rFonts w:ascii="Calibri" w:hAnsi="Calibri" w:cs="Calibri"/>
          <w:b/>
          <w:color w:val="984806" w:themeColor="accent6" w:themeShade="80"/>
          <w:sz w:val="32"/>
          <w:szCs w:val="32"/>
        </w:rPr>
      </w:pPr>
      <w:r w:rsidRPr="0011478C">
        <w:rPr>
          <w:rFonts w:ascii="Calibri" w:hAnsi="Calibri" w:cs="Calibri"/>
          <w:b/>
          <w:color w:val="984806" w:themeColor="accent6" w:themeShade="80"/>
          <w:sz w:val="32"/>
          <w:szCs w:val="32"/>
        </w:rPr>
        <w:t>Organisation logistique</w:t>
      </w:r>
    </w:p>
    <w:p w:rsidR="002B1371" w:rsidRPr="002436B1" w:rsidRDefault="002B1371" w:rsidP="002B1371">
      <w:pPr>
        <w:jc w:val="both"/>
        <w:rPr>
          <w:rFonts w:ascii="Calibri" w:hAnsi="Calibri" w:cs="Calibri"/>
          <w:color w:val="4F6228"/>
        </w:rPr>
      </w:pPr>
    </w:p>
    <w:p w:rsidR="002B1371" w:rsidRPr="00186C98" w:rsidRDefault="00DD2F1C" w:rsidP="002B1371">
      <w:pPr>
        <w:rPr>
          <w:rFonts w:ascii="Arial Black" w:hAnsi="Arial Black" w:cs="Calibri"/>
          <w:b/>
          <w:bCs/>
          <w:color w:val="632423"/>
        </w:rPr>
      </w:pPr>
      <w:r>
        <w:rPr>
          <w:rFonts w:ascii="Arial Black" w:hAnsi="Arial Black" w:cs="Calibri"/>
          <w:b/>
          <w:bCs/>
          <w:color w:val="632423"/>
        </w:rPr>
        <w:t>L</w:t>
      </w:r>
      <w:r w:rsidR="002B1371" w:rsidRPr="00186C98">
        <w:rPr>
          <w:rFonts w:ascii="Arial Black" w:hAnsi="Arial Black" w:cs="Calibri"/>
          <w:b/>
          <w:bCs/>
          <w:color w:val="632423"/>
        </w:rPr>
        <w:t xml:space="preserve">es réorganisations logistiques </w:t>
      </w:r>
      <w:r>
        <w:rPr>
          <w:rFonts w:ascii="Arial Black" w:hAnsi="Arial Black" w:cs="Calibri"/>
          <w:b/>
          <w:bCs/>
          <w:color w:val="632423"/>
        </w:rPr>
        <w:t>au plus bas niveau depuis 2009</w:t>
      </w:r>
    </w:p>
    <w:p w:rsidR="002B1371" w:rsidRPr="002436B1" w:rsidRDefault="002B1371" w:rsidP="002B1371">
      <w:pPr>
        <w:rPr>
          <w:rFonts w:ascii="Calibri" w:hAnsi="Calibri" w:cs="Calibri"/>
          <w:color w:val="800000"/>
          <w:sz w:val="28"/>
          <w:szCs w:val="28"/>
        </w:rPr>
      </w:pPr>
    </w:p>
    <w:p w:rsidR="002B1371" w:rsidRDefault="002B1371" w:rsidP="002B1371">
      <w:pPr>
        <w:jc w:val="center"/>
        <w:rPr>
          <w:rFonts w:ascii="Calibri" w:hAnsi="Calibri" w:cs="Calibri"/>
          <w:b/>
          <w:bCs/>
        </w:rPr>
      </w:pPr>
      <w:r w:rsidRPr="002436B1">
        <w:rPr>
          <w:rFonts w:ascii="Calibri" w:hAnsi="Calibri" w:cs="Calibri"/>
          <w:b/>
          <w:bCs/>
        </w:rPr>
        <w:t>Pourcentage d’établissements ayant réorganisé leur logistique</w:t>
      </w:r>
    </w:p>
    <w:p w:rsidR="004E249B" w:rsidRPr="002436B1" w:rsidRDefault="004E249B" w:rsidP="002B1371">
      <w:pPr>
        <w:jc w:val="center"/>
        <w:rPr>
          <w:rFonts w:ascii="Calibri" w:hAnsi="Calibri" w:cs="Calibri"/>
          <w:b/>
          <w:bCs/>
        </w:rPr>
      </w:pPr>
    </w:p>
    <w:p w:rsidR="00446450" w:rsidRPr="002436B1" w:rsidRDefault="002B1371" w:rsidP="00446450">
      <w:pPr>
        <w:rPr>
          <w:rFonts w:ascii="Calibri" w:hAnsi="Calibri" w:cs="Calibri"/>
        </w:rPr>
      </w:pPr>
      <w:r w:rsidRPr="002436B1">
        <w:rPr>
          <w:rFonts w:ascii="Calibri" w:hAnsi="Calibri" w:cs="Calibri"/>
          <w:i/>
          <w:iCs/>
        </w:rPr>
        <w:t xml:space="preserve">  Etablissements de 100 salariés et plus </w:t>
      </w:r>
      <w:r w:rsidRPr="002436B1">
        <w:rPr>
          <w:rFonts w:ascii="Calibri" w:hAnsi="Calibri" w:cs="Calibri"/>
          <w:i/>
          <w:iCs/>
        </w:rPr>
        <w:tab/>
      </w:r>
      <w:r w:rsidR="00446450" w:rsidRPr="002436B1">
        <w:rPr>
          <w:rFonts w:ascii="Calibri" w:hAnsi="Calibri" w:cs="Calibri"/>
          <w:i/>
          <w:iCs/>
        </w:rPr>
        <w:tab/>
      </w:r>
      <w:r w:rsidR="00446450" w:rsidRPr="002436B1">
        <w:rPr>
          <w:rFonts w:ascii="Calibri" w:hAnsi="Calibri" w:cs="Calibri"/>
          <w:i/>
          <w:iCs/>
        </w:rPr>
        <w:tab/>
      </w:r>
      <w:r w:rsidR="00446450" w:rsidRPr="002436B1">
        <w:rPr>
          <w:rFonts w:ascii="Calibri" w:hAnsi="Calibri" w:cs="Calibri"/>
          <w:i/>
          <w:iCs/>
        </w:rPr>
        <w:tab/>
      </w:r>
      <w:r w:rsidR="00446450" w:rsidRPr="002436B1">
        <w:rPr>
          <w:rFonts w:ascii="Calibri" w:hAnsi="Calibri" w:cs="Calibri"/>
          <w:i/>
          <w:iCs/>
        </w:rPr>
        <w:tab/>
      </w:r>
      <w:r w:rsidR="00446450" w:rsidRPr="002436B1">
        <w:rPr>
          <w:rFonts w:ascii="Calibri" w:hAnsi="Calibri" w:cs="Calibri"/>
          <w:i/>
          <w:iCs/>
        </w:rPr>
        <w:tab/>
      </w:r>
      <w:r w:rsidR="00446450" w:rsidRPr="002436B1">
        <w:rPr>
          <w:rFonts w:ascii="Calibri" w:hAnsi="Calibri" w:cs="Calibri"/>
          <w:i/>
          <w:iCs/>
        </w:rPr>
        <w:tab/>
      </w:r>
      <w:r w:rsidR="00446450" w:rsidRPr="002436B1">
        <w:rPr>
          <w:rFonts w:ascii="Calibri" w:hAnsi="Calibri" w:cs="Calibri"/>
          <w:i/>
          <w:iCs/>
        </w:rPr>
        <w:tab/>
      </w:r>
      <w:r w:rsidR="002F36DC">
        <w:rPr>
          <w:rFonts w:ascii="Calibri" w:hAnsi="Calibri" w:cs="Calibri"/>
          <w:i/>
          <w:iCs/>
        </w:rPr>
        <w:t xml:space="preserve">             </w:t>
      </w:r>
      <w:r w:rsidR="00446450" w:rsidRPr="002436B1">
        <w:rPr>
          <w:rFonts w:ascii="Calibri" w:hAnsi="Calibri" w:cs="Calibri"/>
          <w:i/>
          <w:iCs/>
        </w:rPr>
        <w:t>Etablissements de 50 à 99 salariés</w:t>
      </w:r>
      <w:r w:rsidR="00446450" w:rsidRPr="002436B1">
        <w:rPr>
          <w:rFonts w:ascii="Calibri" w:hAnsi="Calibri" w:cs="Calibri"/>
        </w:rPr>
        <w:t xml:space="preserve"> </w:t>
      </w:r>
    </w:p>
    <w:p w:rsidR="002B1371" w:rsidRPr="002436B1" w:rsidRDefault="00AD6615" w:rsidP="002B1371">
      <w:pPr>
        <w:rPr>
          <w:rFonts w:ascii="Calibri" w:hAnsi="Calibri" w:cs="Calibri"/>
        </w:rPr>
      </w:pPr>
      <w:r>
        <w:rPr>
          <w:rFonts w:ascii="Calibri" w:hAnsi="Calibri" w:cs="Calibri"/>
          <w:noProof/>
        </w:rPr>
        <w:drawing>
          <wp:inline distT="0" distB="0" distL="0" distR="0" wp14:anchorId="53D3C122" wp14:editId="7DA523F1">
            <wp:extent cx="6115050" cy="3743325"/>
            <wp:effectExtent l="0" t="0" r="19050" b="9525"/>
            <wp:docPr id="11" name="Obje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Calibri" w:hAnsi="Calibri" w:cs="Calibri"/>
          <w:noProof/>
        </w:rPr>
        <w:drawing>
          <wp:inline distT="0" distB="0" distL="0" distR="0" wp14:anchorId="4360D8A6" wp14:editId="75643B22">
            <wp:extent cx="3122762" cy="2872597"/>
            <wp:effectExtent l="0" t="0" r="20955" b="23495"/>
            <wp:docPr id="12" name="Obje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1371" w:rsidRPr="002436B1" w:rsidRDefault="002B1371" w:rsidP="002B1371">
      <w:pPr>
        <w:rPr>
          <w:rFonts w:ascii="Calibri" w:hAnsi="Calibri" w:cs="Calibri"/>
          <w:i/>
          <w:iCs/>
        </w:rPr>
      </w:pPr>
    </w:p>
    <w:p w:rsidR="002B1371" w:rsidRPr="002436B1" w:rsidRDefault="00DD2F1C" w:rsidP="002B1371">
      <w:pPr>
        <w:jc w:val="both"/>
        <w:rPr>
          <w:rFonts w:ascii="Calibri" w:hAnsi="Calibri" w:cs="Calibri"/>
        </w:rPr>
      </w:pPr>
      <w:r>
        <w:rPr>
          <w:rFonts w:ascii="Calibri" w:hAnsi="Calibri" w:cs="Calibri"/>
        </w:rPr>
        <w:t xml:space="preserve">Environ un tiers des </w:t>
      </w:r>
      <w:r w:rsidR="00EE7D0E">
        <w:rPr>
          <w:rFonts w:ascii="Calibri" w:hAnsi="Calibri" w:cs="Calibri"/>
        </w:rPr>
        <w:t>établissements déclarent avoir réorganisé leur logistique en 2014. C’est le plus bas niveau enregistré depuis 2009.</w:t>
      </w:r>
      <w:r w:rsidR="002979A4">
        <w:rPr>
          <w:rFonts w:ascii="Calibri" w:hAnsi="Calibri" w:cs="Calibri"/>
        </w:rPr>
        <w:t xml:space="preserve"> Tous les secteurs sont marqués par cette baisse. </w:t>
      </w:r>
    </w:p>
    <w:p w:rsidR="002B1371" w:rsidRPr="002436B1" w:rsidRDefault="002B1371" w:rsidP="002B1371">
      <w:pPr>
        <w:jc w:val="both"/>
        <w:rPr>
          <w:rFonts w:ascii="Calibri" w:hAnsi="Calibri" w:cs="Calibri"/>
        </w:rPr>
      </w:pPr>
    </w:p>
    <w:p w:rsidR="002B1371" w:rsidRPr="002436B1" w:rsidRDefault="002B1371" w:rsidP="002B1371">
      <w:pPr>
        <w:rPr>
          <w:rFonts w:ascii="Calibri" w:hAnsi="Calibri" w:cs="Calibri"/>
        </w:rPr>
      </w:pPr>
    </w:p>
    <w:p w:rsidR="002B1371" w:rsidRPr="00186C98" w:rsidRDefault="002B1371" w:rsidP="002B1371">
      <w:pPr>
        <w:rPr>
          <w:rFonts w:ascii="Arial Black" w:hAnsi="Arial Black" w:cs="Calibri"/>
          <w:b/>
          <w:bCs/>
          <w:color w:val="632423"/>
        </w:rPr>
      </w:pPr>
      <w:r w:rsidRPr="00186C98">
        <w:rPr>
          <w:rFonts w:ascii="Arial Black" w:hAnsi="Arial Black" w:cs="Calibri"/>
          <w:b/>
          <w:bCs/>
          <w:color w:val="632423"/>
        </w:rPr>
        <w:t xml:space="preserve">Des réorganisations qui s’expliquent </w:t>
      </w:r>
      <w:r w:rsidR="00C3181A">
        <w:rPr>
          <w:rFonts w:ascii="Arial Black" w:hAnsi="Arial Black" w:cs="Calibri"/>
          <w:b/>
          <w:bCs/>
          <w:color w:val="632423"/>
        </w:rPr>
        <w:t>toujours</w:t>
      </w:r>
      <w:r w:rsidRPr="00186C98">
        <w:rPr>
          <w:rFonts w:ascii="Arial Black" w:hAnsi="Arial Black" w:cs="Calibri"/>
          <w:b/>
          <w:bCs/>
          <w:color w:val="632423"/>
        </w:rPr>
        <w:t xml:space="preserve"> par la recherche d’une maîtrise des coûts </w:t>
      </w:r>
    </w:p>
    <w:p w:rsidR="00EB51F3" w:rsidRDefault="00EB51F3"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Principaux facteurs de réorganisation des services logistiques</w:t>
      </w:r>
    </w:p>
    <w:p w:rsidR="002B1371" w:rsidRPr="002436B1" w:rsidRDefault="002B1371" w:rsidP="002B1371">
      <w:pPr>
        <w:jc w:val="center"/>
        <w:rPr>
          <w:rFonts w:ascii="Calibri" w:hAnsi="Calibri" w:cs="Calibri"/>
          <w:b/>
          <w:bCs/>
        </w:rPr>
      </w:pPr>
      <w:r w:rsidRPr="002436B1">
        <w:rPr>
          <w:rFonts w:ascii="Calibri" w:hAnsi="Calibri" w:cs="Calibri"/>
          <w:b/>
          <w:bCs/>
        </w:rPr>
        <w:t>(en pourcentage d’établissements ayant réorganisé leur logistique et cité l’item)</w:t>
      </w:r>
    </w:p>
    <w:p w:rsidR="002B1371" w:rsidRPr="002436B1" w:rsidRDefault="002B1371" w:rsidP="002B1371">
      <w:pPr>
        <w:rPr>
          <w:rFonts w:ascii="Calibri" w:hAnsi="Calibri" w:cs="Calibri"/>
        </w:rPr>
      </w:pPr>
    </w:p>
    <w:p w:rsidR="00446450" w:rsidRPr="002436B1" w:rsidRDefault="00446450" w:rsidP="00446450">
      <w:pPr>
        <w:tabs>
          <w:tab w:val="left" w:pos="11199"/>
        </w:tabs>
        <w:rPr>
          <w:rFonts w:ascii="Calibri" w:hAnsi="Calibri" w:cs="Calibri"/>
          <w:i/>
          <w:iCs/>
        </w:rPr>
      </w:pPr>
      <w:r w:rsidRPr="002436B1">
        <w:rPr>
          <w:rFonts w:ascii="Calibri" w:hAnsi="Calibri" w:cs="Calibri"/>
          <w:i/>
          <w:iCs/>
        </w:rPr>
        <w:tab/>
      </w:r>
    </w:p>
    <w:tbl>
      <w:tblPr>
        <w:tblStyle w:val="Listemoyenne1-Accent5"/>
        <w:tblW w:w="4927" w:type="pct"/>
        <w:tblLook w:val="04A0" w:firstRow="1" w:lastRow="0" w:firstColumn="1" w:lastColumn="0" w:noHBand="0" w:noVBand="1"/>
      </w:tblPr>
      <w:tblGrid>
        <w:gridCol w:w="5070"/>
        <w:gridCol w:w="856"/>
        <w:gridCol w:w="847"/>
        <w:gridCol w:w="837"/>
        <w:gridCol w:w="837"/>
        <w:gridCol w:w="837"/>
        <w:gridCol w:w="837"/>
        <w:gridCol w:w="837"/>
        <w:gridCol w:w="549"/>
        <w:gridCol w:w="223"/>
        <w:gridCol w:w="68"/>
        <w:gridCol w:w="223"/>
        <w:gridCol w:w="793"/>
        <w:gridCol w:w="814"/>
        <w:gridCol w:w="799"/>
        <w:gridCol w:w="422"/>
      </w:tblGrid>
      <w:tr w:rsidR="000227D8" w:rsidRPr="005817EA" w:rsidTr="001C3CA8">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75" w:type="pct"/>
            <w:gridSpan w:val="9"/>
          </w:tcPr>
          <w:p w:rsidR="000227D8" w:rsidRPr="005817EA" w:rsidRDefault="005817EA" w:rsidP="00EC44F5">
            <w:pPr>
              <w:jc w:val="center"/>
              <w:rPr>
                <w:rFonts w:asciiTheme="minorHAnsi" w:hAnsiTheme="minorHAnsi" w:cstheme="minorHAnsi"/>
                <w:b w:val="0"/>
                <w:sz w:val="20"/>
                <w:szCs w:val="22"/>
              </w:rPr>
            </w:pPr>
            <w:r>
              <w:rPr>
                <w:rFonts w:asciiTheme="minorHAnsi" w:hAnsiTheme="minorHAnsi" w:cstheme="minorHAnsi"/>
                <w:b w:val="0"/>
                <w:i/>
                <w:iCs/>
                <w:sz w:val="20"/>
                <w:szCs w:val="22"/>
              </w:rPr>
              <w:t xml:space="preserve">                        </w:t>
            </w:r>
            <w:r w:rsidR="006455B5">
              <w:rPr>
                <w:rFonts w:asciiTheme="minorHAnsi" w:hAnsiTheme="minorHAnsi" w:cstheme="minorHAnsi"/>
                <w:b w:val="0"/>
                <w:i/>
                <w:iCs/>
                <w:sz w:val="20"/>
                <w:szCs w:val="22"/>
              </w:rPr>
              <w:t xml:space="preserve">                </w:t>
            </w:r>
            <w:r>
              <w:rPr>
                <w:rFonts w:asciiTheme="minorHAnsi" w:hAnsiTheme="minorHAnsi" w:cstheme="minorHAnsi"/>
                <w:b w:val="0"/>
                <w:i/>
                <w:iCs/>
                <w:sz w:val="20"/>
                <w:szCs w:val="22"/>
              </w:rPr>
              <w:t xml:space="preserve">  </w:t>
            </w:r>
            <w:r w:rsidR="000227D8" w:rsidRPr="005817EA">
              <w:rPr>
                <w:rFonts w:asciiTheme="minorHAnsi" w:hAnsiTheme="minorHAnsi" w:cstheme="minorHAnsi"/>
                <w:b w:val="0"/>
                <w:i/>
                <w:iCs/>
                <w:sz w:val="20"/>
                <w:szCs w:val="22"/>
              </w:rPr>
              <w:t>Etablissements de 100 salariés et plus</w:t>
            </w:r>
          </w:p>
        </w:tc>
        <w:tc>
          <w:tcPr>
            <w:tcW w:w="75" w:type="pct"/>
            <w:tcBorders>
              <w:bottom w:val="nil"/>
            </w:tcBorders>
          </w:tcPr>
          <w:p w:rsidR="000227D8" w:rsidRPr="005817EA" w:rsidRDefault="000227D8" w:rsidP="00EC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rPr>
            </w:pPr>
          </w:p>
        </w:tc>
        <w:tc>
          <w:tcPr>
            <w:tcW w:w="1050" w:type="pct"/>
            <w:gridSpan w:val="6"/>
            <w:tcBorders>
              <w:bottom w:val="nil"/>
            </w:tcBorders>
          </w:tcPr>
          <w:p w:rsidR="000227D8" w:rsidRPr="005817EA" w:rsidRDefault="000227D8" w:rsidP="004D596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5817EA">
              <w:rPr>
                <w:rFonts w:asciiTheme="minorHAnsi" w:hAnsiTheme="minorHAnsi" w:cstheme="minorHAnsi"/>
                <w:i/>
                <w:iCs/>
                <w:sz w:val="20"/>
                <w:szCs w:val="22"/>
              </w:rPr>
              <w:t>Etablissements de 50 à 99 salariés</w:t>
            </w:r>
          </w:p>
        </w:tc>
      </w:tr>
      <w:tr w:rsidR="00EE4CC2" w:rsidRPr="000227D8" w:rsidTr="006455B5">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Borders>
              <w:top w:val="single" w:sz="8" w:space="0" w:color="4BACC6" w:themeColor="accent5"/>
              <w:bottom w:val="single" w:sz="8" w:space="0" w:color="4BACC6" w:themeColor="accent5"/>
            </w:tcBorders>
          </w:tcPr>
          <w:p w:rsidR="00446450" w:rsidRPr="000227D8" w:rsidRDefault="00446450" w:rsidP="00EC44F5">
            <w:pPr>
              <w:rPr>
                <w:rFonts w:asciiTheme="minorHAnsi" w:hAnsiTheme="minorHAnsi" w:cstheme="minorHAnsi"/>
                <w:b w:val="0"/>
                <w:sz w:val="22"/>
                <w:szCs w:val="22"/>
              </w:rPr>
            </w:pPr>
          </w:p>
        </w:tc>
        <w:tc>
          <w:tcPr>
            <w:tcW w:w="288" w:type="pct"/>
            <w:tcBorders>
              <w:top w:val="single" w:sz="8" w:space="0" w:color="4BACC6" w:themeColor="accent5"/>
              <w:bottom w:val="single" w:sz="8" w:space="0" w:color="4BACC6" w:themeColor="accent5"/>
            </w:tcBorders>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IAA</w:t>
            </w:r>
          </w:p>
        </w:tc>
        <w:tc>
          <w:tcPr>
            <w:tcW w:w="285" w:type="pct"/>
            <w:tcBorders>
              <w:top w:val="single" w:sz="8" w:space="0" w:color="4BACC6" w:themeColor="accent5"/>
              <w:bottom w:val="single" w:sz="8" w:space="0" w:color="4BACC6" w:themeColor="accent5"/>
            </w:tcBorders>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PHAR</w:t>
            </w:r>
          </w:p>
        </w:tc>
        <w:tc>
          <w:tcPr>
            <w:tcW w:w="282" w:type="pct"/>
            <w:tcBorders>
              <w:top w:val="single" w:sz="8" w:space="0" w:color="4BACC6" w:themeColor="accent5"/>
              <w:bottom w:val="single" w:sz="8" w:space="0" w:color="4BACC6" w:themeColor="accent5"/>
            </w:tcBorders>
            <w:noWrap/>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AUTO</w:t>
            </w:r>
          </w:p>
        </w:tc>
        <w:tc>
          <w:tcPr>
            <w:tcW w:w="282" w:type="pct"/>
            <w:tcBorders>
              <w:top w:val="single" w:sz="8" w:space="0" w:color="4BACC6" w:themeColor="accent5"/>
              <w:bottom w:val="single" w:sz="8" w:space="0" w:color="4BACC6" w:themeColor="accent5"/>
            </w:tcBorders>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IEM</w:t>
            </w:r>
          </w:p>
        </w:tc>
        <w:tc>
          <w:tcPr>
            <w:tcW w:w="282" w:type="pct"/>
            <w:tcBorders>
              <w:top w:val="single" w:sz="8" w:space="0" w:color="4BACC6" w:themeColor="accent5"/>
              <w:bottom w:val="single" w:sz="8" w:space="0" w:color="4BACC6" w:themeColor="accent5"/>
            </w:tcBorders>
            <w:noWrap/>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CHIM</w:t>
            </w:r>
          </w:p>
        </w:tc>
        <w:tc>
          <w:tcPr>
            <w:tcW w:w="282" w:type="pct"/>
            <w:tcBorders>
              <w:top w:val="single" w:sz="8" w:space="0" w:color="4BACC6" w:themeColor="accent5"/>
              <w:bottom w:val="single" w:sz="8" w:space="0" w:color="4BACC6" w:themeColor="accent5"/>
            </w:tcBorders>
            <w:noWrap/>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COM</w:t>
            </w:r>
          </w:p>
        </w:tc>
        <w:tc>
          <w:tcPr>
            <w:tcW w:w="282" w:type="pct"/>
            <w:tcBorders>
              <w:top w:val="single" w:sz="8" w:space="0" w:color="4BACC6" w:themeColor="accent5"/>
              <w:bottom w:val="single" w:sz="8" w:space="0" w:color="4BACC6" w:themeColor="accent5"/>
            </w:tcBorders>
            <w:noWrap/>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TRP</w:t>
            </w:r>
          </w:p>
        </w:tc>
        <w:tc>
          <w:tcPr>
            <w:tcW w:w="283" w:type="pct"/>
            <w:gridSpan w:val="3"/>
            <w:tcBorders>
              <w:top w:val="single" w:sz="8" w:space="0" w:color="4BACC6" w:themeColor="accent5"/>
              <w:bottom w:val="single" w:sz="8" w:space="0" w:color="4BACC6" w:themeColor="accent5"/>
            </w:tcBorders>
            <w:noWrap/>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Total</w:t>
            </w:r>
          </w:p>
        </w:tc>
        <w:tc>
          <w:tcPr>
            <w:tcW w:w="75" w:type="pct"/>
            <w:tcBorders>
              <w:top w:val="nil"/>
              <w:bottom w:val="nil"/>
            </w:tcBorders>
            <w:shd w:val="clear" w:color="auto" w:fill="auto"/>
          </w:tcPr>
          <w:p w:rsidR="00446450" w:rsidRPr="000227D8" w:rsidRDefault="00446450"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67" w:type="pct"/>
            <w:tcBorders>
              <w:top w:val="single" w:sz="8" w:space="0" w:color="4BACC6" w:themeColor="accent5"/>
              <w:bottom w:val="single" w:sz="8" w:space="0" w:color="4BACC6" w:themeColor="accent5"/>
            </w:tcBorders>
          </w:tcPr>
          <w:p w:rsidR="00446450" w:rsidRPr="000227D8" w:rsidRDefault="00446450" w:rsidP="00EC4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COM</w:t>
            </w:r>
          </w:p>
        </w:tc>
        <w:tc>
          <w:tcPr>
            <w:tcW w:w="274" w:type="pct"/>
            <w:tcBorders>
              <w:top w:val="single" w:sz="8" w:space="0" w:color="4BACC6" w:themeColor="accent5"/>
              <w:bottom w:val="single" w:sz="8" w:space="0" w:color="4BACC6" w:themeColor="accent5"/>
            </w:tcBorders>
          </w:tcPr>
          <w:p w:rsidR="00446450" w:rsidRPr="000227D8" w:rsidRDefault="00446450" w:rsidP="00EC4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TRP</w:t>
            </w:r>
          </w:p>
        </w:tc>
        <w:tc>
          <w:tcPr>
            <w:tcW w:w="269" w:type="pct"/>
            <w:tcBorders>
              <w:top w:val="single" w:sz="8" w:space="0" w:color="4BACC6" w:themeColor="accent5"/>
              <w:bottom w:val="single" w:sz="8" w:space="0" w:color="4BACC6" w:themeColor="accent5"/>
            </w:tcBorders>
          </w:tcPr>
          <w:p w:rsidR="00446450" w:rsidRPr="000227D8" w:rsidRDefault="00446450" w:rsidP="00EC4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227D8">
              <w:rPr>
                <w:rFonts w:asciiTheme="minorHAnsi" w:hAnsiTheme="minorHAnsi" w:cstheme="minorHAnsi"/>
                <w:sz w:val="22"/>
                <w:szCs w:val="22"/>
              </w:rPr>
              <w:t>Total</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Borders>
              <w:top w:val="single" w:sz="8" w:space="0" w:color="4BACC6" w:themeColor="accent5"/>
            </w:tcBorders>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Diversification produits ou recentrage de l'activité</w:t>
            </w:r>
          </w:p>
        </w:tc>
        <w:tc>
          <w:tcPr>
            <w:tcW w:w="288" w:type="pct"/>
            <w:tcBorders>
              <w:top w:val="single" w:sz="8" w:space="0" w:color="4BACC6" w:themeColor="accent5"/>
            </w:tcBorders>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5" w:type="pct"/>
            <w:tcBorders>
              <w:top w:val="single" w:sz="8" w:space="0" w:color="4BACC6" w:themeColor="accent5"/>
            </w:tcBorders>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tcBorders>
              <w:top w:val="single" w:sz="8" w:space="0" w:color="4BACC6" w:themeColor="accent5"/>
            </w:tcBorders>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tcBorders>
              <w:top w:val="single" w:sz="8" w:space="0" w:color="4BACC6" w:themeColor="accent5"/>
            </w:tcBorders>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82" w:type="pct"/>
            <w:tcBorders>
              <w:top w:val="single" w:sz="8" w:space="0" w:color="4BACC6" w:themeColor="accent5"/>
            </w:tcBorders>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15%</w:t>
            </w:r>
          </w:p>
        </w:tc>
        <w:tc>
          <w:tcPr>
            <w:tcW w:w="282" w:type="pct"/>
            <w:tcBorders>
              <w:top w:val="single" w:sz="8" w:space="0" w:color="4BACC6" w:themeColor="accent5"/>
            </w:tcBorders>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24%</w:t>
            </w:r>
          </w:p>
        </w:tc>
        <w:tc>
          <w:tcPr>
            <w:tcW w:w="282" w:type="pct"/>
            <w:tcBorders>
              <w:top w:val="single" w:sz="8" w:space="0" w:color="4BACC6" w:themeColor="accent5"/>
            </w:tcBorders>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tcBorders>
              <w:top w:val="single" w:sz="8" w:space="0" w:color="4BACC6" w:themeColor="accent5"/>
            </w:tcBorders>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tcBorders>
              <w:top w:val="single" w:sz="8" w:space="0" w:color="4BACC6" w:themeColor="accent5"/>
            </w:tcBorders>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74" w:type="pct"/>
            <w:tcBorders>
              <w:top w:val="single" w:sz="8" w:space="0" w:color="4BACC6" w:themeColor="accent5"/>
            </w:tcBorders>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44%</w:t>
            </w:r>
          </w:p>
        </w:tc>
        <w:tc>
          <w:tcPr>
            <w:tcW w:w="269" w:type="pct"/>
            <w:tcBorders>
              <w:top w:val="single" w:sz="8" w:space="0" w:color="4BACC6" w:themeColor="accent5"/>
            </w:tcBorders>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Réorganisation de la logistique client / distribution</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13%</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22%</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30%</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21%</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21%</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40%</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21%</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33%</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31%</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33%</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Réorganisation de la logistique d'approvisionnement</w:t>
            </w:r>
          </w:p>
        </w:tc>
        <w:tc>
          <w:tcPr>
            <w:tcW w:w="288"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11%</w:t>
            </w:r>
          </w:p>
        </w:tc>
        <w:tc>
          <w:tcPr>
            <w:tcW w:w="285"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8%</w:t>
            </w:r>
          </w:p>
        </w:tc>
        <w:tc>
          <w:tcPr>
            <w:tcW w:w="282"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49%</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23%</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28%</w:t>
            </w:r>
          </w:p>
        </w:tc>
        <w:tc>
          <w:tcPr>
            <w:tcW w:w="283" w:type="pct"/>
            <w:gridSpan w:val="3"/>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20%</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28%</w:t>
            </w:r>
          </w:p>
        </w:tc>
        <w:tc>
          <w:tcPr>
            <w:tcW w:w="274"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69"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23%</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Amélioration de la sécurité de la supply chain</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29%</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13%</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14%</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11%</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Développ.  des projets " développement durable "</w:t>
            </w:r>
          </w:p>
        </w:tc>
        <w:tc>
          <w:tcPr>
            <w:tcW w:w="288"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5%</w:t>
            </w:r>
          </w:p>
        </w:tc>
        <w:tc>
          <w:tcPr>
            <w:tcW w:w="285"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74"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Démarche de maîtrise des coûts / Optimisation</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33%</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13%</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62%</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13%</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51%</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65%</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19%</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39%</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39%</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44%</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40%</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Réduction de l'activité / Plan de restructuration</w:t>
            </w:r>
          </w:p>
        </w:tc>
        <w:tc>
          <w:tcPr>
            <w:tcW w:w="288"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8%</w:t>
            </w:r>
          </w:p>
        </w:tc>
        <w:tc>
          <w:tcPr>
            <w:tcW w:w="285"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17%</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21%</w:t>
            </w:r>
          </w:p>
        </w:tc>
        <w:tc>
          <w:tcPr>
            <w:tcW w:w="282"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12%</w:t>
            </w:r>
          </w:p>
        </w:tc>
        <w:tc>
          <w:tcPr>
            <w:tcW w:w="283" w:type="pct"/>
            <w:gridSpan w:val="3"/>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7%</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74"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Agrandissement / Augmentation de l'activité</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22%</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11%</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13%</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7%</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11%</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16%</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19%</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14%</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19%</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8%</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Développement international</w:t>
            </w:r>
          </w:p>
        </w:tc>
        <w:tc>
          <w:tcPr>
            <w:tcW w:w="288"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w:t>
            </w:r>
          </w:p>
        </w:tc>
        <w:tc>
          <w:tcPr>
            <w:tcW w:w="285"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15%</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74"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Délocalisation</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Fusion / Acquisition</w:t>
            </w:r>
          </w:p>
        </w:tc>
        <w:tc>
          <w:tcPr>
            <w:tcW w:w="288"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5"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7%</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c>
          <w:tcPr>
            <w:tcW w:w="283" w:type="pct"/>
            <w:gridSpan w:val="3"/>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74"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69"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Investissement dans de nouvelles technologies</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18%</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9%</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17%</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13%</w:t>
            </w:r>
          </w:p>
        </w:tc>
      </w:tr>
      <w:tr w:rsidR="00C3181A" w:rsidRPr="000227D8" w:rsidTr="00AA0A6F">
        <w:trPr>
          <w:gridAfter w:val="1"/>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Changement de prestataire logistique</w:t>
            </w:r>
          </w:p>
        </w:tc>
        <w:tc>
          <w:tcPr>
            <w:tcW w:w="288"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10%</w:t>
            </w:r>
          </w:p>
        </w:tc>
        <w:tc>
          <w:tcPr>
            <w:tcW w:w="285"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8%</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2" w:type="pct"/>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83" w:type="pct"/>
            <w:gridSpan w:val="3"/>
            <w:noWrap/>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w:t>
            </w:r>
          </w:p>
        </w:tc>
        <w:tc>
          <w:tcPr>
            <w:tcW w:w="75" w:type="pct"/>
            <w:tcBorders>
              <w:top w:val="nil"/>
              <w:bottom w:val="nil"/>
            </w:tcBorders>
            <w:shd w:val="clear" w:color="auto" w:fill="auto"/>
          </w:tcPr>
          <w:p w:rsidR="00C3181A" w:rsidRPr="00183195" w:rsidRDefault="00C3181A" w:rsidP="00EC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6%</w:t>
            </w:r>
          </w:p>
        </w:tc>
        <w:tc>
          <w:tcPr>
            <w:tcW w:w="274"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4%</w:t>
            </w:r>
          </w:p>
        </w:tc>
      </w:tr>
      <w:tr w:rsidR="00C3181A" w:rsidRPr="000227D8" w:rsidTr="00AA0A6F">
        <w:trPr>
          <w:gridAfter w:val="1"/>
          <w:cnfStyle w:val="000000100000" w:firstRow="0" w:lastRow="0" w:firstColumn="0" w:lastColumn="0" w:oddVBand="0" w:evenVBand="0" w:oddHBand="1" w:evenHBand="0" w:firstRowFirstColumn="0" w:firstRowLastColumn="0" w:lastRowFirstColumn="0" w:lastRowLastColumn="0"/>
          <w:wAfter w:w="142" w:type="pct"/>
          <w:trHeight w:val="225"/>
        </w:trPr>
        <w:tc>
          <w:tcPr>
            <w:cnfStyle w:val="001000000000" w:firstRow="0" w:lastRow="0" w:firstColumn="1" w:lastColumn="0" w:oddVBand="0" w:evenVBand="0" w:oddHBand="0" w:evenHBand="0" w:firstRowFirstColumn="0" w:firstRowLastColumn="0" w:lastRowFirstColumn="0" w:lastRowLastColumn="0"/>
            <w:tcW w:w="1707" w:type="pct"/>
          </w:tcPr>
          <w:p w:rsidR="00C3181A" w:rsidRPr="000227D8" w:rsidRDefault="00C3181A" w:rsidP="00EC44F5">
            <w:pPr>
              <w:rPr>
                <w:rFonts w:asciiTheme="minorHAnsi" w:hAnsiTheme="minorHAnsi" w:cstheme="minorHAnsi"/>
                <w:b w:val="0"/>
                <w:sz w:val="22"/>
                <w:szCs w:val="22"/>
              </w:rPr>
            </w:pPr>
            <w:r w:rsidRPr="000227D8">
              <w:rPr>
                <w:rFonts w:asciiTheme="minorHAnsi" w:hAnsiTheme="minorHAnsi" w:cstheme="minorHAnsi"/>
                <w:b w:val="0"/>
                <w:sz w:val="22"/>
                <w:szCs w:val="22"/>
              </w:rPr>
              <w:t>Autres</w:t>
            </w:r>
          </w:p>
        </w:tc>
        <w:tc>
          <w:tcPr>
            <w:tcW w:w="288"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22%</w:t>
            </w:r>
          </w:p>
        </w:tc>
        <w:tc>
          <w:tcPr>
            <w:tcW w:w="285"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37%</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21%</w:t>
            </w:r>
          </w:p>
        </w:tc>
        <w:tc>
          <w:tcPr>
            <w:tcW w:w="282"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18%</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8%</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11%</w:t>
            </w:r>
          </w:p>
        </w:tc>
        <w:tc>
          <w:tcPr>
            <w:tcW w:w="282" w:type="pct"/>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16%</w:t>
            </w:r>
          </w:p>
        </w:tc>
        <w:tc>
          <w:tcPr>
            <w:tcW w:w="283" w:type="pct"/>
            <w:gridSpan w:val="3"/>
            <w:noWrap/>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17%</w:t>
            </w:r>
          </w:p>
        </w:tc>
        <w:tc>
          <w:tcPr>
            <w:tcW w:w="75" w:type="pct"/>
            <w:tcBorders>
              <w:top w:val="nil"/>
              <w:bottom w:val="nil"/>
            </w:tcBorders>
            <w:shd w:val="clear" w:color="auto" w:fill="auto"/>
          </w:tcPr>
          <w:p w:rsidR="00C3181A" w:rsidRPr="00183195" w:rsidRDefault="00C3181A" w:rsidP="00EC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0"/>
                <w:szCs w:val="18"/>
              </w:rPr>
            </w:pPr>
          </w:p>
        </w:tc>
        <w:tc>
          <w:tcPr>
            <w:tcW w:w="267"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74"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c>
          <w:tcPr>
            <w:tcW w:w="269" w:type="pct"/>
            <w:vAlign w:val="bottom"/>
          </w:tcPr>
          <w:p w:rsidR="00C3181A" w:rsidRPr="00183195" w:rsidRDefault="00C318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8"/>
              </w:rPr>
            </w:pPr>
            <w:r w:rsidRPr="00183195">
              <w:rPr>
                <w:rFonts w:ascii="Calibri" w:hAnsi="Calibri" w:cs="Calibri"/>
                <w:color w:val="000000"/>
                <w:sz w:val="20"/>
                <w:szCs w:val="18"/>
              </w:rPr>
              <w:t>0%</w:t>
            </w:r>
          </w:p>
        </w:tc>
      </w:tr>
    </w:tbl>
    <w:p w:rsidR="00446450" w:rsidRPr="002436B1" w:rsidRDefault="00446450" w:rsidP="00446450">
      <w:pPr>
        <w:rPr>
          <w:rFonts w:ascii="Calibri" w:hAnsi="Calibri" w:cs="Calibri"/>
        </w:rPr>
      </w:pPr>
    </w:p>
    <w:p w:rsidR="00B542B9" w:rsidRDefault="00C3181A" w:rsidP="00C3181A">
      <w:pPr>
        <w:jc w:val="both"/>
        <w:rPr>
          <w:rFonts w:ascii="Calibri" w:hAnsi="Calibri" w:cs="Calibri"/>
        </w:rPr>
      </w:pPr>
      <w:r>
        <w:rPr>
          <w:rFonts w:ascii="Calibri" w:hAnsi="Calibri" w:cs="Calibri"/>
        </w:rPr>
        <w:t>Comme un an auparavant, près de deux établissements sur cinq expliquent</w:t>
      </w:r>
      <w:r w:rsidR="002B1371" w:rsidRPr="002436B1">
        <w:rPr>
          <w:rFonts w:ascii="Calibri" w:hAnsi="Calibri" w:cs="Calibri"/>
        </w:rPr>
        <w:t xml:space="preserve"> l</w:t>
      </w:r>
      <w:r>
        <w:rPr>
          <w:rFonts w:ascii="Calibri" w:hAnsi="Calibri" w:cs="Calibri"/>
        </w:rPr>
        <w:t>eur</w:t>
      </w:r>
      <w:r w:rsidR="002B1371" w:rsidRPr="002436B1">
        <w:rPr>
          <w:rFonts w:ascii="Calibri" w:hAnsi="Calibri" w:cs="Calibri"/>
        </w:rPr>
        <w:t xml:space="preserve"> réorganisation logistique en 201</w:t>
      </w:r>
      <w:r>
        <w:rPr>
          <w:rFonts w:ascii="Calibri" w:hAnsi="Calibri" w:cs="Calibri"/>
        </w:rPr>
        <w:t>4</w:t>
      </w:r>
      <w:r w:rsidR="002B1371" w:rsidRPr="002436B1">
        <w:rPr>
          <w:rFonts w:ascii="Calibri" w:hAnsi="Calibri" w:cs="Calibri"/>
        </w:rPr>
        <w:t xml:space="preserve"> par </w:t>
      </w:r>
      <w:r>
        <w:rPr>
          <w:rFonts w:ascii="Calibri" w:hAnsi="Calibri" w:cs="Calibri"/>
        </w:rPr>
        <w:t>une démarche de</w:t>
      </w:r>
      <w:r w:rsidR="002B1371" w:rsidRPr="002436B1">
        <w:rPr>
          <w:rFonts w:ascii="Calibri" w:hAnsi="Calibri" w:cs="Calibri"/>
        </w:rPr>
        <w:t xml:space="preserve"> compression des coûts et l’optimisation des process. </w:t>
      </w:r>
      <w:r w:rsidR="005E2E79">
        <w:rPr>
          <w:rFonts w:ascii="Calibri" w:hAnsi="Calibri" w:cs="Calibri"/>
        </w:rPr>
        <w:t>Ce motif est ainsi cité en premier, loin devant la réorganisation de la logistique client (un établissement sur cinq de 100 salariés et plus, un tiers des établissements de 50 à 99 salariés)</w:t>
      </w:r>
      <w:r w:rsidR="00B542B9">
        <w:rPr>
          <w:rFonts w:ascii="Calibri" w:hAnsi="Calibri" w:cs="Calibri"/>
        </w:rPr>
        <w:t>.</w:t>
      </w:r>
    </w:p>
    <w:p w:rsidR="00B542B9" w:rsidRDefault="00B542B9" w:rsidP="00C3181A">
      <w:pPr>
        <w:jc w:val="both"/>
        <w:rPr>
          <w:rFonts w:ascii="Calibri" w:hAnsi="Calibri" w:cs="Calibri"/>
        </w:rPr>
      </w:pPr>
    </w:p>
    <w:p w:rsidR="002B1371" w:rsidRPr="002436B1" w:rsidRDefault="00B542B9" w:rsidP="002B1371">
      <w:pPr>
        <w:jc w:val="both"/>
        <w:rPr>
          <w:rFonts w:ascii="Calibri" w:hAnsi="Calibri" w:cs="Calibri"/>
        </w:rPr>
      </w:pPr>
      <w:r>
        <w:rPr>
          <w:rFonts w:ascii="Calibri" w:hAnsi="Calibri" w:cs="Calibri"/>
        </w:rPr>
        <w:t>Un facteur progresse significativement,</w:t>
      </w:r>
      <w:r w:rsidR="005E2E79">
        <w:rPr>
          <w:rFonts w:ascii="Calibri" w:hAnsi="Calibri" w:cs="Calibri"/>
        </w:rPr>
        <w:t xml:space="preserve"> </w:t>
      </w:r>
      <w:r w:rsidR="004409D9">
        <w:rPr>
          <w:rFonts w:ascii="Calibri" w:hAnsi="Calibri" w:cs="Calibri"/>
        </w:rPr>
        <w:t xml:space="preserve">celui de </w:t>
      </w:r>
      <w:r w:rsidR="005E2E79">
        <w:rPr>
          <w:rFonts w:ascii="Calibri" w:hAnsi="Calibri" w:cs="Calibri"/>
        </w:rPr>
        <w:t xml:space="preserve">la réorganisation de la </w:t>
      </w:r>
      <w:r w:rsidR="00266C1D">
        <w:rPr>
          <w:rFonts w:ascii="Calibri" w:hAnsi="Calibri" w:cs="Calibri"/>
        </w:rPr>
        <w:t>logistique d’approvisionnement</w:t>
      </w:r>
      <w:r>
        <w:rPr>
          <w:rFonts w:ascii="Calibri" w:hAnsi="Calibri" w:cs="Calibri"/>
        </w:rPr>
        <w:t xml:space="preserve">. </w:t>
      </w:r>
      <w:r w:rsidR="004409D9">
        <w:rPr>
          <w:rFonts w:ascii="Calibri" w:hAnsi="Calibri" w:cs="Calibri"/>
        </w:rPr>
        <w:t xml:space="preserve">En effet, 20% des établissements de </w:t>
      </w:r>
      <w:r w:rsidR="00266C1D">
        <w:rPr>
          <w:rFonts w:ascii="Calibri" w:hAnsi="Calibri" w:cs="Calibri"/>
        </w:rPr>
        <w:t>100 salariés et plus</w:t>
      </w:r>
      <w:r w:rsidR="004409D9">
        <w:rPr>
          <w:rFonts w:ascii="Calibri" w:hAnsi="Calibri" w:cs="Calibri"/>
        </w:rPr>
        <w:t xml:space="preserve"> l’évoque</w:t>
      </w:r>
      <w:r w:rsidR="00A30C1F">
        <w:rPr>
          <w:rFonts w:ascii="Calibri" w:hAnsi="Calibri" w:cs="Calibri"/>
        </w:rPr>
        <w:t>nt</w:t>
      </w:r>
      <w:r w:rsidR="004409D9">
        <w:rPr>
          <w:rFonts w:ascii="Calibri" w:hAnsi="Calibri" w:cs="Calibri"/>
        </w:rPr>
        <w:t xml:space="preserve"> en 2014 pour justifier leur réorganisation logistique, soit 7 points de plus qu’en 2013 (et jusqu’à 19 points de plus pour les </w:t>
      </w:r>
      <w:r w:rsidR="00266C1D">
        <w:rPr>
          <w:rFonts w:ascii="Calibri" w:hAnsi="Calibri" w:cs="Calibri"/>
        </w:rPr>
        <w:t>établissement</w:t>
      </w:r>
      <w:r w:rsidR="004409D9">
        <w:rPr>
          <w:rFonts w:ascii="Calibri" w:hAnsi="Calibri" w:cs="Calibri"/>
        </w:rPr>
        <w:t>s</w:t>
      </w:r>
      <w:r w:rsidR="00266C1D">
        <w:rPr>
          <w:rFonts w:ascii="Calibri" w:hAnsi="Calibri" w:cs="Calibri"/>
        </w:rPr>
        <w:t xml:space="preserve"> de 50 à 99 salariés)</w:t>
      </w:r>
      <w:r w:rsidR="005E2E79">
        <w:rPr>
          <w:rFonts w:ascii="Calibri" w:hAnsi="Calibri" w:cs="Calibri"/>
        </w:rPr>
        <w:t xml:space="preserve">. </w:t>
      </w:r>
    </w:p>
    <w:p w:rsidR="002B1371" w:rsidRPr="00186C98" w:rsidRDefault="00EB51F3" w:rsidP="00EB51F3">
      <w:pPr>
        <w:rPr>
          <w:rFonts w:ascii="Arial Black" w:hAnsi="Arial Black" w:cs="Calibri"/>
          <w:b/>
          <w:bCs/>
          <w:color w:val="632423"/>
        </w:rPr>
      </w:pPr>
      <w:r>
        <w:rPr>
          <w:rFonts w:ascii="Calibri" w:hAnsi="Calibri" w:cs="Calibri"/>
          <w:b/>
          <w:color w:val="4F6228"/>
          <w:sz w:val="28"/>
          <w:szCs w:val="28"/>
        </w:rPr>
        <w:br w:type="page"/>
      </w:r>
      <w:r w:rsidR="002B1371" w:rsidRPr="00186C98">
        <w:rPr>
          <w:rFonts w:ascii="Arial Black" w:hAnsi="Arial Black" w:cs="Calibri"/>
          <w:b/>
          <w:bCs/>
          <w:color w:val="632423"/>
        </w:rPr>
        <w:t xml:space="preserve">Le mouvement de réorganisations logistiques </w:t>
      </w:r>
      <w:r w:rsidR="007F3ED8">
        <w:rPr>
          <w:rFonts w:ascii="Arial Black" w:hAnsi="Arial Black" w:cs="Calibri"/>
          <w:b/>
          <w:bCs/>
          <w:color w:val="632423"/>
        </w:rPr>
        <w:t xml:space="preserve">ne </w:t>
      </w:r>
      <w:r w:rsidR="002B1371" w:rsidRPr="00186C98">
        <w:rPr>
          <w:rFonts w:ascii="Arial Black" w:hAnsi="Arial Black" w:cs="Calibri"/>
          <w:b/>
          <w:bCs/>
          <w:color w:val="632423"/>
        </w:rPr>
        <w:t xml:space="preserve">devrait </w:t>
      </w:r>
      <w:r w:rsidR="007F3ED8">
        <w:rPr>
          <w:rFonts w:ascii="Arial Black" w:hAnsi="Arial Black" w:cs="Calibri"/>
          <w:b/>
          <w:bCs/>
          <w:color w:val="632423"/>
        </w:rPr>
        <w:t>pas s’amplifier</w:t>
      </w:r>
      <w:r w:rsidR="002B1371" w:rsidRPr="00186C98">
        <w:rPr>
          <w:rFonts w:ascii="Arial Black" w:hAnsi="Arial Black" w:cs="Calibri"/>
          <w:b/>
          <w:bCs/>
          <w:color w:val="632423"/>
        </w:rPr>
        <w:t xml:space="preserve"> en 201</w:t>
      </w:r>
      <w:r w:rsidR="00881485">
        <w:rPr>
          <w:rFonts w:ascii="Arial Black" w:hAnsi="Arial Black" w:cs="Calibri"/>
          <w:b/>
          <w:bCs/>
          <w:color w:val="632423"/>
        </w:rPr>
        <w:t>5</w:t>
      </w:r>
    </w:p>
    <w:p w:rsidR="002B1371" w:rsidRPr="002436B1" w:rsidRDefault="002B1371" w:rsidP="002B1371">
      <w:pPr>
        <w:rPr>
          <w:rFonts w:ascii="Calibri" w:hAnsi="Calibri" w:cs="Calibri"/>
          <w:sz w:val="16"/>
          <w:szCs w:val="16"/>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prévoyant de réorganiser leur logistique en 201</w:t>
      </w:r>
      <w:r w:rsidR="002979A4">
        <w:rPr>
          <w:rFonts w:ascii="Calibri" w:hAnsi="Calibri" w:cs="Calibri"/>
          <w:b/>
          <w:bCs/>
        </w:rPr>
        <w:t>5</w:t>
      </w:r>
    </w:p>
    <w:p w:rsidR="002B1371" w:rsidRPr="002436B1" w:rsidRDefault="002B1371" w:rsidP="002B1371">
      <w:pPr>
        <w:rPr>
          <w:rFonts w:ascii="Calibri" w:hAnsi="Calibri" w:cs="Calibri"/>
          <w:sz w:val="16"/>
          <w:szCs w:val="16"/>
        </w:rPr>
      </w:pPr>
    </w:p>
    <w:p w:rsidR="002B1371" w:rsidRPr="002436B1" w:rsidRDefault="002B1371" w:rsidP="002B1371">
      <w:pPr>
        <w:rPr>
          <w:rFonts w:ascii="Calibri" w:hAnsi="Calibri" w:cs="Calibri"/>
          <w:i/>
          <w:iCs/>
        </w:rPr>
      </w:pPr>
      <w:r w:rsidRPr="002436B1">
        <w:rPr>
          <w:rFonts w:ascii="Calibri" w:hAnsi="Calibri" w:cs="Calibri"/>
          <w:i/>
          <w:iCs/>
        </w:rPr>
        <w:t xml:space="preserve"> </w:t>
      </w:r>
      <w:r w:rsidR="00EC44F5">
        <w:rPr>
          <w:rFonts w:ascii="Calibri" w:hAnsi="Calibri" w:cs="Calibri"/>
          <w:i/>
          <w:iCs/>
        </w:rPr>
        <w:t xml:space="preserve">           </w:t>
      </w:r>
      <w:r w:rsidRPr="002436B1">
        <w:rPr>
          <w:rFonts w:ascii="Calibri" w:hAnsi="Calibri" w:cs="Calibri"/>
          <w:i/>
          <w:iCs/>
        </w:rPr>
        <w:t xml:space="preserve"> Etablissements de 100 salariés et plus </w:t>
      </w:r>
      <w:r w:rsidRPr="002436B1">
        <w:rPr>
          <w:rFonts w:ascii="Calibri" w:hAnsi="Calibri" w:cs="Calibri"/>
          <w:i/>
          <w:iCs/>
        </w:rPr>
        <w:tab/>
      </w:r>
      <w:r w:rsidRPr="002436B1">
        <w:rPr>
          <w:rFonts w:ascii="Calibri" w:hAnsi="Calibri" w:cs="Calibri"/>
          <w:i/>
          <w:iCs/>
        </w:rPr>
        <w:tab/>
      </w:r>
      <w:r w:rsidR="00EB51F3">
        <w:rPr>
          <w:rFonts w:ascii="Calibri" w:hAnsi="Calibri" w:cs="Calibri"/>
          <w:i/>
          <w:iCs/>
        </w:rPr>
        <w:t xml:space="preserve">                                           </w:t>
      </w:r>
      <w:r w:rsidR="00EC44F5">
        <w:rPr>
          <w:rFonts w:ascii="Calibri" w:hAnsi="Calibri" w:cs="Calibri"/>
          <w:i/>
          <w:iCs/>
        </w:rPr>
        <w:t xml:space="preserve">                               </w:t>
      </w:r>
      <w:r w:rsidR="00EB51F3">
        <w:rPr>
          <w:rFonts w:ascii="Calibri" w:hAnsi="Calibri" w:cs="Calibri"/>
          <w:i/>
          <w:iCs/>
        </w:rPr>
        <w:t xml:space="preserve">   </w:t>
      </w:r>
      <w:r w:rsidRPr="002436B1">
        <w:rPr>
          <w:rFonts w:ascii="Calibri" w:hAnsi="Calibri" w:cs="Calibri"/>
          <w:i/>
          <w:iCs/>
        </w:rPr>
        <w:t>Etablissements de 50 à 99 salariés</w:t>
      </w:r>
    </w:p>
    <w:p w:rsidR="00280FC9" w:rsidRDefault="00EC44F5" w:rsidP="002B1371">
      <w:pPr>
        <w:jc w:val="both"/>
        <w:rPr>
          <w:rFonts w:ascii="Calibri" w:hAnsi="Calibri" w:cs="Calibri"/>
        </w:rPr>
      </w:pPr>
      <w:r>
        <w:rPr>
          <w:rFonts w:ascii="Calibri" w:hAnsi="Calibri" w:cs="Calibri"/>
        </w:rPr>
        <w:t xml:space="preserve">       </w:t>
      </w:r>
      <w:r w:rsidR="00280FC9">
        <w:rPr>
          <w:rFonts w:ascii="Calibri" w:hAnsi="Calibri" w:cs="Calibri"/>
          <w:noProof/>
        </w:rPr>
        <w:drawing>
          <wp:inline distT="0" distB="0" distL="0" distR="0" wp14:anchorId="213D7799" wp14:editId="4E21DFCE">
            <wp:extent cx="4666891" cy="1173193"/>
            <wp:effectExtent l="0" t="0" r="635" b="8255"/>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300E1">
        <w:rPr>
          <w:rFonts w:ascii="Calibri" w:hAnsi="Calibri" w:cs="Calibri"/>
        </w:rPr>
        <w:t xml:space="preserve">                                 </w:t>
      </w:r>
      <w:r w:rsidR="005300E1">
        <w:rPr>
          <w:rFonts w:ascii="Calibri" w:hAnsi="Calibri" w:cs="Calibri"/>
          <w:noProof/>
        </w:rPr>
        <w:drawing>
          <wp:inline distT="0" distB="0" distL="0" distR="0" wp14:anchorId="0493B6A9" wp14:editId="31D3162F">
            <wp:extent cx="2053087" cy="1052422"/>
            <wp:effectExtent l="0" t="0" r="4445" b="0"/>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0FC9" w:rsidRDefault="00280FC9" w:rsidP="002B1371">
      <w:pPr>
        <w:jc w:val="both"/>
        <w:rPr>
          <w:rFonts w:ascii="Calibri" w:hAnsi="Calibri" w:cs="Calibri"/>
        </w:rPr>
      </w:pPr>
    </w:p>
    <w:p w:rsidR="002B1371" w:rsidRPr="002436B1" w:rsidRDefault="00881485" w:rsidP="002B1371">
      <w:pPr>
        <w:jc w:val="both"/>
        <w:rPr>
          <w:rFonts w:ascii="Calibri" w:hAnsi="Calibri" w:cs="Calibri"/>
        </w:rPr>
      </w:pPr>
      <w:r>
        <w:rPr>
          <w:rFonts w:ascii="Calibri" w:hAnsi="Calibri" w:cs="Calibri"/>
        </w:rPr>
        <w:t xml:space="preserve">La part </w:t>
      </w:r>
      <w:r w:rsidR="002B1371" w:rsidRPr="002436B1">
        <w:rPr>
          <w:rFonts w:ascii="Calibri" w:hAnsi="Calibri" w:cs="Calibri"/>
        </w:rPr>
        <w:t>des répondants</w:t>
      </w:r>
      <w:r>
        <w:rPr>
          <w:rFonts w:ascii="Calibri" w:hAnsi="Calibri" w:cs="Calibri"/>
        </w:rPr>
        <w:t xml:space="preserve"> qui</w:t>
      </w:r>
      <w:r w:rsidR="002B1371" w:rsidRPr="002436B1">
        <w:rPr>
          <w:rFonts w:ascii="Calibri" w:hAnsi="Calibri" w:cs="Calibri"/>
        </w:rPr>
        <w:t xml:space="preserve"> prévoient de réorganiser leur logistique en 201</w:t>
      </w:r>
      <w:r>
        <w:rPr>
          <w:rFonts w:ascii="Calibri" w:hAnsi="Calibri" w:cs="Calibri"/>
        </w:rPr>
        <w:t xml:space="preserve">5 </w:t>
      </w:r>
      <w:r w:rsidR="007F3ED8">
        <w:rPr>
          <w:rFonts w:ascii="Calibri" w:hAnsi="Calibri" w:cs="Calibri"/>
        </w:rPr>
        <w:t>reste</w:t>
      </w:r>
      <w:r>
        <w:rPr>
          <w:rFonts w:ascii="Calibri" w:hAnsi="Calibri" w:cs="Calibri"/>
        </w:rPr>
        <w:t xml:space="preserve"> de</w:t>
      </w:r>
      <w:r w:rsidR="002B1371" w:rsidRPr="002436B1">
        <w:rPr>
          <w:rFonts w:ascii="Calibri" w:hAnsi="Calibri" w:cs="Calibri"/>
        </w:rPr>
        <w:t xml:space="preserve"> </w:t>
      </w:r>
      <w:r>
        <w:rPr>
          <w:rFonts w:ascii="Calibri" w:hAnsi="Calibri" w:cs="Calibri"/>
        </w:rPr>
        <w:t>5 points inférieure à la part</w:t>
      </w:r>
      <w:r w:rsidR="002B1371" w:rsidRPr="002436B1">
        <w:rPr>
          <w:rFonts w:ascii="Calibri" w:hAnsi="Calibri" w:cs="Calibri"/>
        </w:rPr>
        <w:t xml:space="preserve"> </w:t>
      </w:r>
      <w:r w:rsidR="006761CE">
        <w:rPr>
          <w:rFonts w:ascii="Calibri" w:hAnsi="Calibri" w:cs="Calibri"/>
        </w:rPr>
        <w:t xml:space="preserve">de </w:t>
      </w:r>
      <w:r w:rsidR="002B1371" w:rsidRPr="002436B1">
        <w:rPr>
          <w:rFonts w:ascii="Calibri" w:hAnsi="Calibri" w:cs="Calibri"/>
        </w:rPr>
        <w:t>ceux qui l’ont effectivement réorganisée en 201</w:t>
      </w:r>
      <w:r>
        <w:rPr>
          <w:rFonts w:ascii="Calibri" w:hAnsi="Calibri" w:cs="Calibri"/>
        </w:rPr>
        <w:t>4</w:t>
      </w:r>
      <w:r w:rsidR="00CF3DD2">
        <w:rPr>
          <w:rFonts w:ascii="Calibri" w:hAnsi="Calibri" w:cs="Calibri"/>
        </w:rPr>
        <w:t>.</w:t>
      </w:r>
      <w:r w:rsidR="002B1371" w:rsidRPr="002436B1">
        <w:rPr>
          <w:rFonts w:ascii="Calibri" w:hAnsi="Calibri" w:cs="Calibri"/>
        </w:rPr>
        <w:t xml:space="preserve"> </w:t>
      </w:r>
    </w:p>
    <w:p w:rsidR="002B1371" w:rsidRPr="002436B1" w:rsidRDefault="002B1371" w:rsidP="002B1371">
      <w:pPr>
        <w:jc w:val="both"/>
        <w:rPr>
          <w:rFonts w:ascii="Calibri" w:hAnsi="Calibri" w:cs="Calibri"/>
          <w:sz w:val="16"/>
          <w:szCs w:val="16"/>
        </w:rPr>
      </w:pPr>
    </w:p>
    <w:p w:rsidR="002B1371" w:rsidRPr="002436B1" w:rsidRDefault="002B1371" w:rsidP="002B1371">
      <w:pPr>
        <w:jc w:val="both"/>
        <w:rPr>
          <w:rFonts w:ascii="Calibri" w:hAnsi="Calibri" w:cs="Calibri"/>
          <w:sz w:val="16"/>
          <w:szCs w:val="16"/>
        </w:rPr>
      </w:pPr>
    </w:p>
    <w:p w:rsidR="002B1371" w:rsidRPr="00186C98" w:rsidRDefault="00B10196" w:rsidP="002B1371">
      <w:pPr>
        <w:rPr>
          <w:rFonts w:ascii="Arial Black" w:hAnsi="Arial Black" w:cs="Calibri"/>
          <w:b/>
          <w:bCs/>
          <w:color w:val="632423"/>
        </w:rPr>
      </w:pPr>
      <w:r>
        <w:rPr>
          <w:rFonts w:ascii="Arial Black" w:hAnsi="Arial Black" w:cs="Calibri"/>
          <w:b/>
          <w:bCs/>
          <w:color w:val="632423"/>
        </w:rPr>
        <w:t>Marchandises en ville : plus de 3 établissements de TRM sur 5 sont concernés</w:t>
      </w:r>
    </w:p>
    <w:p w:rsidR="002B1371" w:rsidRPr="002436B1" w:rsidRDefault="002B1371" w:rsidP="002B1371">
      <w:pPr>
        <w:rPr>
          <w:rFonts w:ascii="Calibri" w:hAnsi="Calibri" w:cs="Calibri"/>
          <w:color w:val="800000"/>
          <w:sz w:val="20"/>
          <w:szCs w:val="20"/>
        </w:rPr>
      </w:pPr>
    </w:p>
    <w:p w:rsidR="002B1371" w:rsidRPr="002436B1" w:rsidRDefault="002B1371" w:rsidP="002B1371">
      <w:pPr>
        <w:jc w:val="center"/>
        <w:rPr>
          <w:rFonts w:ascii="Calibri" w:hAnsi="Calibri" w:cs="Calibri"/>
          <w:b/>
          <w:bCs/>
        </w:rPr>
      </w:pPr>
      <w:r w:rsidRPr="002436B1">
        <w:rPr>
          <w:rFonts w:ascii="Calibri" w:hAnsi="Calibri" w:cs="Calibri"/>
          <w:b/>
          <w:bCs/>
        </w:rPr>
        <w:t>Pourcentage de prestataires transport-logistique amenés à acheminer des marchandises en ville ou à organiser des livraisons urbaines</w:t>
      </w:r>
    </w:p>
    <w:p w:rsidR="002B1371" w:rsidRPr="002436B1" w:rsidRDefault="002B1371" w:rsidP="002B1371">
      <w:pPr>
        <w:rPr>
          <w:rFonts w:ascii="Calibri" w:hAnsi="Calibri" w:cs="Calibri"/>
          <w:color w:val="800000"/>
          <w:sz w:val="20"/>
          <w:szCs w:val="20"/>
        </w:rPr>
      </w:pPr>
    </w:p>
    <w:p w:rsidR="00EC44F5" w:rsidRDefault="002B1371" w:rsidP="00EC44F5">
      <w:pPr>
        <w:rPr>
          <w:rFonts w:ascii="Calibri" w:hAnsi="Calibri" w:cs="Calibri"/>
        </w:rPr>
      </w:pPr>
      <w:r w:rsidRPr="002436B1">
        <w:rPr>
          <w:rFonts w:ascii="Calibri" w:hAnsi="Calibri" w:cs="Calibri"/>
          <w:i/>
          <w:iCs/>
        </w:rPr>
        <w:t xml:space="preserve"> </w:t>
      </w:r>
      <w:r w:rsidR="006B74EC">
        <w:rPr>
          <w:rFonts w:ascii="Calibri" w:hAnsi="Calibri" w:cs="Calibri"/>
          <w:i/>
          <w:iCs/>
        </w:rPr>
        <w:t xml:space="preserve">                               </w:t>
      </w:r>
      <w:r w:rsidRPr="002436B1">
        <w:rPr>
          <w:rFonts w:ascii="Calibri" w:hAnsi="Calibri" w:cs="Calibri"/>
          <w:i/>
          <w:iCs/>
        </w:rPr>
        <w:t xml:space="preserve"> Etablissements de 100 salariés et plus </w:t>
      </w:r>
      <w:r w:rsidR="00EC44F5">
        <w:rPr>
          <w:rFonts w:ascii="Calibri" w:hAnsi="Calibri" w:cs="Calibri"/>
          <w:i/>
          <w:iCs/>
        </w:rPr>
        <w:t xml:space="preserve">                                                                         </w:t>
      </w:r>
      <w:r w:rsidR="006B74EC">
        <w:rPr>
          <w:rFonts w:ascii="Calibri" w:hAnsi="Calibri" w:cs="Calibri"/>
          <w:i/>
          <w:iCs/>
        </w:rPr>
        <w:t xml:space="preserve"> </w:t>
      </w:r>
      <w:r w:rsidR="00EC44F5">
        <w:rPr>
          <w:rFonts w:ascii="Calibri" w:hAnsi="Calibri" w:cs="Calibri"/>
          <w:i/>
          <w:iCs/>
        </w:rPr>
        <w:t xml:space="preserve"> </w:t>
      </w:r>
      <w:r w:rsidR="00EC44F5" w:rsidRPr="002436B1">
        <w:rPr>
          <w:rFonts w:ascii="Calibri" w:hAnsi="Calibri" w:cs="Calibri"/>
          <w:i/>
          <w:iCs/>
        </w:rPr>
        <w:t>Etablissements de 50 à 99 salariés</w:t>
      </w:r>
      <w:r w:rsidR="00EC44F5" w:rsidRPr="002436B1">
        <w:rPr>
          <w:rFonts w:ascii="Calibri" w:hAnsi="Calibri" w:cs="Calibri"/>
        </w:rPr>
        <w:t xml:space="preserve"> </w:t>
      </w:r>
      <w:r w:rsidR="00EC44F5">
        <w:rPr>
          <w:rFonts w:ascii="Calibri" w:hAnsi="Calibri" w:cs="Calibri"/>
        </w:rPr>
        <w:t xml:space="preserve"> </w:t>
      </w:r>
    </w:p>
    <w:p w:rsidR="002B1371" w:rsidRPr="002436B1" w:rsidRDefault="00AD6615" w:rsidP="002B1371">
      <w:pPr>
        <w:rPr>
          <w:rFonts w:ascii="Calibri" w:hAnsi="Calibri" w:cs="Calibri"/>
          <w:i/>
          <w:iCs/>
        </w:rPr>
      </w:pPr>
      <w:r>
        <w:rPr>
          <w:rFonts w:ascii="Calibri" w:hAnsi="Calibri" w:cs="Calibri"/>
          <w:i/>
          <w:iCs/>
          <w:noProof/>
        </w:rPr>
        <w:drawing>
          <wp:inline distT="0" distB="0" distL="0" distR="0" wp14:anchorId="0A06EA09" wp14:editId="464D1065">
            <wp:extent cx="2199736" cy="1811547"/>
            <wp:effectExtent l="0" t="0" r="10160" b="17780"/>
            <wp:docPr id="15" name="Obje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Calibri" w:hAnsi="Calibri" w:cs="Calibri"/>
          <w:i/>
          <w:iCs/>
          <w:noProof/>
        </w:rPr>
        <w:drawing>
          <wp:inline distT="0" distB="0" distL="0" distR="0" wp14:anchorId="157AC437" wp14:editId="21C63D6F">
            <wp:extent cx="2122098" cy="1811547"/>
            <wp:effectExtent l="0" t="0" r="12065" b="17780"/>
            <wp:docPr id="16" name="Obje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C44F5">
        <w:rPr>
          <w:rFonts w:ascii="Calibri" w:hAnsi="Calibri" w:cs="Calibri"/>
          <w:i/>
          <w:iCs/>
        </w:rPr>
        <w:t xml:space="preserve">       </w:t>
      </w:r>
      <w:r w:rsidR="00EC44F5">
        <w:rPr>
          <w:rFonts w:ascii="Calibri" w:hAnsi="Calibri" w:cs="Calibri"/>
          <w:i/>
          <w:iCs/>
          <w:noProof/>
        </w:rPr>
        <w:drawing>
          <wp:inline distT="0" distB="0" distL="0" distR="0" wp14:anchorId="4D2FA1CA" wp14:editId="375EB3C0">
            <wp:extent cx="2070339" cy="1828800"/>
            <wp:effectExtent l="0" t="0" r="25400" b="19050"/>
            <wp:docPr id="17" name="Obje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C44F5">
        <w:rPr>
          <w:rFonts w:ascii="Calibri" w:hAnsi="Calibri" w:cs="Calibri"/>
          <w:i/>
          <w:iCs/>
          <w:noProof/>
        </w:rPr>
        <w:drawing>
          <wp:inline distT="0" distB="0" distL="0" distR="0" wp14:anchorId="47229FC5" wp14:editId="16582C4D">
            <wp:extent cx="2087593" cy="1854679"/>
            <wp:effectExtent l="0" t="0" r="27305" b="12700"/>
            <wp:docPr id="18" name="Obje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1371" w:rsidRPr="002436B1" w:rsidRDefault="00B10196" w:rsidP="002B1371">
      <w:pPr>
        <w:jc w:val="both"/>
        <w:rPr>
          <w:rFonts w:ascii="Calibri" w:hAnsi="Calibri" w:cs="Calibri"/>
        </w:rPr>
      </w:pPr>
      <w:r>
        <w:rPr>
          <w:rFonts w:ascii="Calibri" w:hAnsi="Calibri" w:cs="Calibri"/>
        </w:rPr>
        <w:t xml:space="preserve">Une majorité de </w:t>
      </w:r>
      <w:r w:rsidR="00C5293D">
        <w:rPr>
          <w:rFonts w:ascii="Calibri" w:hAnsi="Calibri" w:cs="Calibri"/>
        </w:rPr>
        <w:t>transporteurs</w:t>
      </w:r>
      <w:r>
        <w:rPr>
          <w:rFonts w:ascii="Calibri" w:hAnsi="Calibri" w:cs="Calibri"/>
        </w:rPr>
        <w:t xml:space="preserve"> routier</w:t>
      </w:r>
      <w:r w:rsidR="00C5293D">
        <w:rPr>
          <w:rFonts w:ascii="Calibri" w:hAnsi="Calibri" w:cs="Calibri"/>
        </w:rPr>
        <w:t>s</w:t>
      </w:r>
      <w:r>
        <w:rPr>
          <w:rFonts w:ascii="Calibri" w:hAnsi="Calibri" w:cs="Calibri"/>
        </w:rPr>
        <w:t xml:space="preserve"> de marchandises (plus de trois sur cinq), mais aussi de prestataires logistiques d’au moins 100 salariés (54%),</w:t>
      </w:r>
      <w:r w:rsidR="002B1371" w:rsidRPr="002436B1">
        <w:rPr>
          <w:rFonts w:ascii="Calibri" w:hAnsi="Calibri" w:cs="Calibri"/>
        </w:rPr>
        <w:t xml:space="preserve"> </w:t>
      </w:r>
      <w:r w:rsidR="00C5293D">
        <w:rPr>
          <w:rFonts w:ascii="Calibri" w:hAnsi="Calibri" w:cs="Calibri"/>
        </w:rPr>
        <w:t xml:space="preserve">sont </w:t>
      </w:r>
      <w:r w:rsidR="002B1371" w:rsidRPr="002436B1">
        <w:rPr>
          <w:rFonts w:ascii="Calibri" w:hAnsi="Calibri" w:cs="Calibri"/>
        </w:rPr>
        <w:t>amené</w:t>
      </w:r>
      <w:r w:rsidR="00C5293D">
        <w:rPr>
          <w:rFonts w:ascii="Calibri" w:hAnsi="Calibri" w:cs="Calibri"/>
        </w:rPr>
        <w:t>s</w:t>
      </w:r>
      <w:r w:rsidR="002B1371" w:rsidRPr="002436B1">
        <w:rPr>
          <w:rFonts w:ascii="Calibri" w:hAnsi="Calibri" w:cs="Calibri"/>
        </w:rPr>
        <w:t xml:space="preserve"> à acheminer des marchandises en ville ou à organiser des livraisons urbaines. </w:t>
      </w:r>
    </w:p>
    <w:p w:rsidR="002B1371" w:rsidRPr="002436B1" w:rsidRDefault="002B1371" w:rsidP="002B1371">
      <w:pPr>
        <w:jc w:val="both"/>
        <w:rPr>
          <w:rFonts w:ascii="Calibri" w:hAnsi="Calibri" w:cs="Calibri"/>
        </w:rPr>
      </w:pPr>
    </w:p>
    <w:p w:rsidR="00F80FE4" w:rsidRDefault="00F80FE4"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Pourcentage des prestataires acheminant ou organisant des livraisons urbaines qui estiment que leur organisation est adaptée à cette activité</w:t>
      </w:r>
    </w:p>
    <w:p w:rsidR="002B1371" w:rsidRPr="002436B1" w:rsidRDefault="002B1371" w:rsidP="002B1371">
      <w:pPr>
        <w:jc w:val="both"/>
        <w:rPr>
          <w:rFonts w:ascii="Calibri" w:hAnsi="Calibri" w:cs="Calibri"/>
        </w:rPr>
      </w:pPr>
    </w:p>
    <w:p w:rsidR="002B1371" w:rsidRPr="002436B1" w:rsidRDefault="000227D8" w:rsidP="002B1371">
      <w:pPr>
        <w:rPr>
          <w:rFonts w:ascii="Calibri" w:hAnsi="Calibri" w:cs="Calibri"/>
          <w:i/>
          <w:iCs/>
        </w:rPr>
      </w:pPr>
      <w:r>
        <w:rPr>
          <w:rFonts w:ascii="Calibri" w:hAnsi="Calibri" w:cs="Calibri"/>
          <w:i/>
          <w:iCs/>
        </w:rPr>
        <w:t xml:space="preserve">            </w:t>
      </w:r>
      <w:r w:rsidR="002B1371" w:rsidRPr="002436B1">
        <w:rPr>
          <w:rFonts w:ascii="Calibri" w:hAnsi="Calibri" w:cs="Calibri"/>
          <w:i/>
          <w:iCs/>
        </w:rPr>
        <w:t xml:space="preserve">  Etablissements de 100 salariés et plus </w:t>
      </w:r>
      <w:r w:rsidR="00214DED">
        <w:rPr>
          <w:rFonts w:ascii="Calibri" w:hAnsi="Calibri" w:cs="Calibri"/>
          <w:i/>
          <w:iCs/>
        </w:rPr>
        <w:tab/>
      </w:r>
      <w:r w:rsidR="00214DED">
        <w:rPr>
          <w:rFonts w:ascii="Calibri" w:hAnsi="Calibri" w:cs="Calibri"/>
          <w:i/>
          <w:iCs/>
        </w:rPr>
        <w:tab/>
      </w:r>
      <w:r w:rsidR="00214DED">
        <w:rPr>
          <w:rFonts w:ascii="Calibri" w:hAnsi="Calibri" w:cs="Calibri"/>
          <w:i/>
          <w:iCs/>
        </w:rPr>
        <w:tab/>
      </w:r>
      <w:r w:rsidR="00214DED">
        <w:rPr>
          <w:rFonts w:ascii="Calibri" w:hAnsi="Calibri" w:cs="Calibri"/>
          <w:i/>
          <w:iCs/>
        </w:rPr>
        <w:tab/>
      </w:r>
      <w:r w:rsidR="00214DED">
        <w:rPr>
          <w:rFonts w:ascii="Calibri" w:hAnsi="Calibri" w:cs="Calibri"/>
          <w:i/>
          <w:iCs/>
        </w:rPr>
        <w:tab/>
      </w:r>
      <w:r w:rsidR="004E249B">
        <w:rPr>
          <w:rFonts w:ascii="Calibri" w:hAnsi="Calibri" w:cs="Calibri"/>
          <w:i/>
          <w:iCs/>
        </w:rPr>
        <w:t xml:space="preserve">               </w:t>
      </w:r>
      <w:r w:rsidR="00214DED" w:rsidRPr="002436B1">
        <w:rPr>
          <w:rFonts w:ascii="Calibri" w:hAnsi="Calibri" w:cs="Calibri"/>
          <w:i/>
          <w:iCs/>
        </w:rPr>
        <w:t>Etablissements de 50 à 99 salariés</w:t>
      </w:r>
    </w:p>
    <w:p w:rsidR="002B1371" w:rsidRPr="002436B1" w:rsidRDefault="002B1371" w:rsidP="002B1371">
      <w:pPr>
        <w:ind w:left="-426" w:right="-360"/>
        <w:jc w:val="both"/>
        <w:rPr>
          <w:rFonts w:ascii="Calibri" w:hAnsi="Calibri" w:cs="Calibri"/>
          <w:i/>
          <w:iCs/>
        </w:rPr>
      </w:pPr>
      <w:r w:rsidRPr="002436B1">
        <w:rPr>
          <w:rFonts w:ascii="Calibri" w:hAnsi="Calibri" w:cs="Calibri"/>
          <w:i/>
          <w:iCs/>
        </w:rPr>
        <w:t xml:space="preserve">            </w:t>
      </w:r>
      <w:r w:rsidRPr="002436B1">
        <w:rPr>
          <w:rFonts w:ascii="Calibri" w:hAnsi="Calibri" w:cs="Calibri"/>
          <w:i/>
          <w:iCs/>
        </w:rPr>
        <w:tab/>
        <w:t xml:space="preserve"> </w:t>
      </w:r>
      <w:r w:rsidR="00AD6615">
        <w:rPr>
          <w:rFonts w:ascii="Calibri" w:hAnsi="Calibri" w:cs="Calibri"/>
          <w:i/>
          <w:iCs/>
          <w:noProof/>
        </w:rPr>
        <w:drawing>
          <wp:inline distT="0" distB="0" distL="0" distR="0" wp14:anchorId="4FA83062" wp14:editId="0254F21A">
            <wp:extent cx="2441276" cy="1880558"/>
            <wp:effectExtent l="0" t="0" r="16510" b="24765"/>
            <wp:docPr id="19" name="Obje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14DED">
        <w:rPr>
          <w:rFonts w:ascii="Calibri" w:hAnsi="Calibri" w:cs="Calibri"/>
          <w:i/>
          <w:iCs/>
        </w:rPr>
        <w:t xml:space="preserve">        </w:t>
      </w:r>
      <w:r w:rsidR="000227D8">
        <w:rPr>
          <w:rFonts w:ascii="Calibri" w:hAnsi="Calibri" w:cs="Calibri"/>
          <w:i/>
          <w:iCs/>
        </w:rPr>
        <w:t xml:space="preserve">                                             </w:t>
      </w:r>
      <w:r w:rsidR="00214DED">
        <w:rPr>
          <w:rFonts w:ascii="Calibri" w:hAnsi="Calibri" w:cs="Calibri"/>
          <w:i/>
          <w:iCs/>
        </w:rPr>
        <w:t xml:space="preserve">   </w:t>
      </w:r>
      <w:r w:rsidR="00AD6615">
        <w:rPr>
          <w:rFonts w:ascii="Calibri" w:hAnsi="Calibri" w:cs="Calibri"/>
          <w:i/>
          <w:iCs/>
          <w:noProof/>
        </w:rPr>
        <w:drawing>
          <wp:inline distT="0" distB="0" distL="0" distR="0" wp14:anchorId="0FD88266" wp14:editId="000F4A51">
            <wp:extent cx="2371725" cy="1819275"/>
            <wp:effectExtent l="0" t="0" r="9525" b="9525"/>
            <wp:docPr id="20" name="Obje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B1371" w:rsidRPr="002436B1" w:rsidRDefault="002218C9" w:rsidP="002B1371">
      <w:pPr>
        <w:jc w:val="both"/>
        <w:rPr>
          <w:rFonts w:ascii="Calibri" w:hAnsi="Calibri" w:cs="Calibri"/>
        </w:rPr>
      </w:pPr>
      <w:r>
        <w:rPr>
          <w:rFonts w:ascii="Calibri" w:hAnsi="Calibri" w:cs="Calibri"/>
        </w:rPr>
        <w:t>Dans l’immense majorité des cas (92% des réponses des établissements de 100 salariés et plus</w:t>
      </w:r>
      <w:r w:rsidR="00A168C7">
        <w:rPr>
          <w:rFonts w:ascii="Calibri" w:hAnsi="Calibri" w:cs="Calibri"/>
        </w:rPr>
        <w:t>,</w:t>
      </w:r>
      <w:r>
        <w:rPr>
          <w:rFonts w:ascii="Calibri" w:hAnsi="Calibri" w:cs="Calibri"/>
        </w:rPr>
        <w:t xml:space="preserve"> et 88% des réponses des établissements de 50 à 99 salariés), les prestataires transport-logistique acheminant des marchandises en ville ou organisant des livraisons urbaines jugent que leur organisation est adaptée à cette activité.</w:t>
      </w:r>
    </w:p>
    <w:p w:rsidR="002B1371" w:rsidRPr="002436B1" w:rsidRDefault="002B1371" w:rsidP="002B1371">
      <w:pPr>
        <w:jc w:val="both"/>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 xml:space="preserve">Pourcentage d’établissements prévoyant d’adapter leur organisation </w:t>
      </w:r>
    </w:p>
    <w:p w:rsidR="002B1371" w:rsidRDefault="002B1371" w:rsidP="002B1371">
      <w:pPr>
        <w:jc w:val="center"/>
        <w:rPr>
          <w:rFonts w:ascii="Calibri" w:hAnsi="Calibri" w:cs="Calibri"/>
          <w:b/>
          <w:bCs/>
        </w:rPr>
      </w:pPr>
      <w:r w:rsidRPr="002436B1">
        <w:rPr>
          <w:rFonts w:ascii="Calibri" w:hAnsi="Calibri" w:cs="Calibri"/>
          <w:b/>
          <w:bCs/>
        </w:rPr>
        <w:t>pour les livraisons urbaines en :</w:t>
      </w:r>
    </w:p>
    <w:p w:rsidR="005817EA" w:rsidRPr="002436B1" w:rsidRDefault="005817EA" w:rsidP="002B1371">
      <w:pPr>
        <w:jc w:val="center"/>
        <w:rPr>
          <w:rFonts w:ascii="Calibri" w:hAnsi="Calibri" w:cs="Calibri"/>
          <w:b/>
          <w:bCs/>
        </w:rPr>
      </w:pPr>
    </w:p>
    <w:tbl>
      <w:tblPr>
        <w:tblStyle w:val="Listemoyenne1-Accent4"/>
        <w:tblW w:w="4457" w:type="pct"/>
        <w:tblLook w:val="04A0" w:firstRow="1" w:lastRow="0" w:firstColumn="1" w:lastColumn="0" w:noHBand="0" w:noVBand="1"/>
      </w:tblPr>
      <w:tblGrid>
        <w:gridCol w:w="6916"/>
        <w:gridCol w:w="1086"/>
        <w:gridCol w:w="1085"/>
        <w:gridCol w:w="1088"/>
        <w:gridCol w:w="1085"/>
        <w:gridCol w:w="1085"/>
        <w:gridCol w:w="1088"/>
      </w:tblGrid>
      <w:tr w:rsidR="001B7B06" w:rsidRPr="006455B5" w:rsidTr="0030614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top w:val="single" w:sz="8" w:space="0" w:color="8064A2" w:themeColor="accent4"/>
              <w:right w:val="nil"/>
            </w:tcBorders>
            <w:noWrap/>
          </w:tcPr>
          <w:p w:rsidR="001B7B06" w:rsidRPr="006455B5" w:rsidRDefault="001B7B06" w:rsidP="00F3284E">
            <w:pPr>
              <w:rPr>
                <w:rFonts w:ascii="Calibri" w:hAnsi="Calibri" w:cs="Calibri"/>
                <w:b w:val="0"/>
                <w:sz w:val="20"/>
              </w:rPr>
            </w:pPr>
          </w:p>
        </w:tc>
        <w:tc>
          <w:tcPr>
            <w:tcW w:w="808" w:type="pct"/>
            <w:gridSpan w:val="2"/>
            <w:tcBorders>
              <w:top w:val="single" w:sz="8" w:space="0" w:color="8064A2" w:themeColor="accent4"/>
              <w:left w:val="nil"/>
              <w:right w:val="single" w:sz="8" w:space="0" w:color="8064A2" w:themeColor="accent4"/>
            </w:tcBorders>
          </w:tcPr>
          <w:p w:rsidR="001B7B06" w:rsidRPr="006455B5" w:rsidRDefault="001B7B06"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2013</w:t>
            </w:r>
          </w:p>
        </w:tc>
        <w:tc>
          <w:tcPr>
            <w:tcW w:w="809" w:type="pct"/>
            <w:gridSpan w:val="2"/>
            <w:tcBorders>
              <w:top w:val="single" w:sz="8" w:space="0" w:color="8064A2" w:themeColor="accent4"/>
              <w:left w:val="single" w:sz="8" w:space="0" w:color="8064A2" w:themeColor="accent4"/>
            </w:tcBorders>
          </w:tcPr>
          <w:p w:rsidR="001B7B06" w:rsidRPr="006455B5" w:rsidRDefault="001B7B06"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2014</w:t>
            </w:r>
          </w:p>
        </w:tc>
        <w:tc>
          <w:tcPr>
            <w:tcW w:w="809" w:type="pct"/>
            <w:gridSpan w:val="2"/>
            <w:tcBorders>
              <w:top w:val="single" w:sz="8" w:space="0" w:color="8064A2" w:themeColor="accent4"/>
              <w:left w:val="single" w:sz="8" w:space="0" w:color="8064A2" w:themeColor="accent4"/>
            </w:tcBorders>
          </w:tcPr>
          <w:p w:rsidR="001B7B06" w:rsidRPr="006455B5" w:rsidRDefault="001B7B06"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2015</w:t>
            </w:r>
          </w:p>
        </w:tc>
      </w:tr>
      <w:tr w:rsidR="00953DDF" w:rsidRPr="006455B5"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tcPr>
          <w:p w:rsidR="00953DDF" w:rsidRPr="006455B5" w:rsidRDefault="00953DDF" w:rsidP="00F3284E">
            <w:pPr>
              <w:rPr>
                <w:rFonts w:ascii="Calibri" w:hAnsi="Calibri" w:cs="Calibri"/>
                <w:b w:val="0"/>
                <w:sz w:val="20"/>
              </w:rPr>
            </w:pP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TRM</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PRL</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TRM</w:t>
            </w:r>
          </w:p>
        </w:tc>
        <w:tc>
          <w:tcPr>
            <w:tcW w:w="404" w:type="pct"/>
            <w:tcBorders>
              <w:lef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PRL</w:t>
            </w:r>
          </w:p>
        </w:tc>
        <w:tc>
          <w:tcPr>
            <w:tcW w:w="404" w:type="pct"/>
            <w:tcBorders>
              <w:left w:val="single" w:sz="8" w:space="0" w:color="8064A2" w:themeColor="accent4"/>
            </w:tcBorders>
          </w:tcPr>
          <w:p w:rsidR="00953DDF" w:rsidRPr="006455B5" w:rsidRDefault="00953DDF" w:rsidP="00AA0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TRM</w:t>
            </w:r>
          </w:p>
        </w:tc>
        <w:tc>
          <w:tcPr>
            <w:tcW w:w="405" w:type="pct"/>
            <w:tcBorders>
              <w:left w:val="single" w:sz="8" w:space="0" w:color="8064A2" w:themeColor="accent4"/>
            </w:tcBorders>
          </w:tcPr>
          <w:p w:rsidR="00953DDF" w:rsidRPr="006455B5" w:rsidRDefault="00953DDF" w:rsidP="00AA0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PRL</w:t>
            </w:r>
          </w:p>
        </w:tc>
      </w:tr>
      <w:tr w:rsidR="00953DDF" w:rsidRPr="006455B5" w:rsidTr="00306147">
        <w:trPr>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Modifiant vos horaires de livraison</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22%</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7%</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25%</w:t>
            </w:r>
          </w:p>
        </w:tc>
        <w:tc>
          <w:tcPr>
            <w:tcW w:w="404" w:type="pct"/>
            <w:tcBorders>
              <w:lef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12%</w:t>
            </w:r>
          </w:p>
        </w:tc>
        <w:tc>
          <w:tcPr>
            <w:tcW w:w="404"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17%</w:t>
            </w:r>
          </w:p>
        </w:tc>
        <w:tc>
          <w:tcPr>
            <w:tcW w:w="405"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8%</w:t>
            </w:r>
          </w:p>
        </w:tc>
      </w:tr>
      <w:tr w:rsidR="00953DDF" w:rsidRPr="006455B5"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Diminuant la taille des véhicules de livraison</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37%</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26%</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43%</w:t>
            </w:r>
          </w:p>
        </w:tc>
        <w:tc>
          <w:tcPr>
            <w:tcW w:w="404" w:type="pct"/>
            <w:tcBorders>
              <w:lef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12%</w:t>
            </w:r>
          </w:p>
        </w:tc>
        <w:tc>
          <w:tcPr>
            <w:tcW w:w="404"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25%</w:t>
            </w:r>
          </w:p>
        </w:tc>
        <w:tc>
          <w:tcPr>
            <w:tcW w:w="405"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19%</w:t>
            </w:r>
          </w:p>
        </w:tc>
      </w:tr>
      <w:tr w:rsidR="00953DDF" w:rsidRPr="006455B5" w:rsidTr="00306147">
        <w:trPr>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 xml:space="preserve">Utilisant des véhicules " propres " (électriques, hybrides…) </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11%</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17%</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4" w:type="pct"/>
            <w:tcBorders>
              <w:lef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16%</w:t>
            </w:r>
          </w:p>
        </w:tc>
        <w:tc>
          <w:tcPr>
            <w:tcW w:w="404"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43%</w:t>
            </w:r>
          </w:p>
        </w:tc>
        <w:tc>
          <w:tcPr>
            <w:tcW w:w="405"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8%</w:t>
            </w:r>
          </w:p>
        </w:tc>
      </w:tr>
      <w:tr w:rsidR="00953DDF" w:rsidRPr="006455B5"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Développant la mutualisation</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20%</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22%</w:t>
            </w:r>
          </w:p>
        </w:tc>
        <w:tc>
          <w:tcPr>
            <w:tcW w:w="404" w:type="pct"/>
            <w:tcBorders>
              <w:lef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4"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31%</w:t>
            </w:r>
          </w:p>
        </w:tc>
        <w:tc>
          <w:tcPr>
            <w:tcW w:w="405"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0%</w:t>
            </w:r>
          </w:p>
        </w:tc>
      </w:tr>
      <w:tr w:rsidR="00953DDF" w:rsidRPr="006455B5" w:rsidTr="00306147">
        <w:trPr>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Livrant des points relais en ville</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0%</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4" w:type="pct"/>
            <w:tcBorders>
              <w:lef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6%</w:t>
            </w:r>
          </w:p>
        </w:tc>
        <w:tc>
          <w:tcPr>
            <w:tcW w:w="404"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17%</w:t>
            </w:r>
          </w:p>
        </w:tc>
        <w:tc>
          <w:tcPr>
            <w:tcW w:w="405"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0%</w:t>
            </w:r>
          </w:p>
        </w:tc>
      </w:tr>
      <w:tr w:rsidR="00953DDF" w:rsidRPr="006455B5"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 xml:space="preserve">Implantant une partie de votre activité logistique plus près des zones urbaines </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9%</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0%</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4" w:type="pct"/>
            <w:tcBorders>
              <w:lef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0%</w:t>
            </w:r>
          </w:p>
        </w:tc>
        <w:tc>
          <w:tcPr>
            <w:tcW w:w="404"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1%</w:t>
            </w:r>
          </w:p>
        </w:tc>
        <w:tc>
          <w:tcPr>
            <w:tcW w:w="405"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0%</w:t>
            </w:r>
          </w:p>
        </w:tc>
      </w:tr>
      <w:tr w:rsidR="00953DDF" w:rsidRPr="006455B5" w:rsidTr="00306147">
        <w:trPr>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Développant la livraison à domicile</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12%</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10%</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15%</w:t>
            </w:r>
          </w:p>
        </w:tc>
        <w:tc>
          <w:tcPr>
            <w:tcW w:w="404" w:type="pct"/>
            <w:tcBorders>
              <w:lef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0%</w:t>
            </w:r>
          </w:p>
        </w:tc>
        <w:tc>
          <w:tcPr>
            <w:tcW w:w="404"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6%</w:t>
            </w:r>
          </w:p>
        </w:tc>
        <w:tc>
          <w:tcPr>
            <w:tcW w:w="405"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0%</w:t>
            </w:r>
          </w:p>
        </w:tc>
      </w:tr>
      <w:tr w:rsidR="00953DDF" w:rsidRPr="006455B5"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Travaillant davantage en flux tendus, juste-à-temps</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15%</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6%</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16%</w:t>
            </w:r>
          </w:p>
        </w:tc>
        <w:tc>
          <w:tcPr>
            <w:tcW w:w="404" w:type="pct"/>
            <w:tcBorders>
              <w:lef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6%</w:t>
            </w:r>
          </w:p>
        </w:tc>
        <w:tc>
          <w:tcPr>
            <w:tcW w:w="404"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26%</w:t>
            </w:r>
          </w:p>
        </w:tc>
        <w:tc>
          <w:tcPr>
            <w:tcW w:w="405"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8%</w:t>
            </w:r>
          </w:p>
        </w:tc>
      </w:tr>
      <w:tr w:rsidR="00953DDF" w:rsidRPr="006455B5" w:rsidTr="00306147">
        <w:trPr>
          <w:trHeight w:val="225"/>
        </w:trPr>
        <w:tc>
          <w:tcPr>
            <w:cnfStyle w:val="001000000000" w:firstRow="0" w:lastRow="0" w:firstColumn="1" w:lastColumn="0" w:oddVBand="0" w:evenVBand="0" w:oddHBand="0" w:evenHBand="0" w:firstRowFirstColumn="0" w:firstRowLastColumn="0" w:lastRowFirstColumn="0" w:lastRowLastColumn="0"/>
            <w:tcW w:w="2574" w:type="pct"/>
            <w:tcBorders>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Recourant à des terminaux ferroviaires ou fluviaux en ville</w:t>
            </w:r>
          </w:p>
        </w:tc>
        <w:tc>
          <w:tcPr>
            <w:tcW w:w="404"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5%</w:t>
            </w:r>
          </w:p>
        </w:tc>
        <w:tc>
          <w:tcPr>
            <w:tcW w:w="404" w:type="pct"/>
            <w:tcBorders>
              <w:left w:val="single" w:sz="8" w:space="0" w:color="8064A2" w:themeColor="accent4"/>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0%</w:t>
            </w:r>
          </w:p>
        </w:tc>
        <w:tc>
          <w:tcPr>
            <w:tcW w:w="405" w:type="pct"/>
            <w:tcBorders>
              <w:top w:val="nil"/>
              <w:left w:val="single" w:sz="8" w:space="0" w:color="8064A2" w:themeColor="accent4"/>
              <w:bottom w:val="nil"/>
              <w:righ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4%</w:t>
            </w:r>
          </w:p>
        </w:tc>
        <w:tc>
          <w:tcPr>
            <w:tcW w:w="404" w:type="pct"/>
            <w:tcBorders>
              <w:left w:val="single" w:sz="8" w:space="0" w:color="8064A2" w:themeColor="accent4"/>
            </w:tcBorders>
          </w:tcPr>
          <w:p w:rsidR="00953DDF" w:rsidRPr="006455B5" w:rsidRDefault="00953DDF" w:rsidP="00F32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455B5">
              <w:rPr>
                <w:rFonts w:ascii="Calibri" w:hAnsi="Calibri" w:cs="Calibri"/>
                <w:sz w:val="20"/>
              </w:rPr>
              <w:t>6%</w:t>
            </w:r>
          </w:p>
        </w:tc>
        <w:tc>
          <w:tcPr>
            <w:tcW w:w="404"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5%</w:t>
            </w:r>
          </w:p>
        </w:tc>
        <w:tc>
          <w:tcPr>
            <w:tcW w:w="405" w:type="pct"/>
            <w:tcBorders>
              <w:left w:val="single" w:sz="8" w:space="0" w:color="8064A2" w:themeColor="accent4"/>
            </w:tcBorders>
            <w:vAlign w:val="bottom"/>
          </w:tcPr>
          <w:p w:rsidR="00953DDF" w:rsidRPr="00417399" w:rsidRDefault="00953DDF"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17399">
              <w:rPr>
                <w:rFonts w:ascii="Calibri" w:hAnsi="Calibri" w:cs="Calibri"/>
                <w:sz w:val="20"/>
              </w:rPr>
              <w:t>0%</w:t>
            </w:r>
          </w:p>
        </w:tc>
      </w:tr>
      <w:tr w:rsidR="00953DDF" w:rsidRPr="006455B5"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74" w:type="pct"/>
            <w:tcBorders>
              <w:bottom w:val="single" w:sz="8" w:space="0" w:color="8064A2" w:themeColor="accent4"/>
              <w:right w:val="single" w:sz="8" w:space="0" w:color="8064A2" w:themeColor="accent4"/>
            </w:tcBorders>
            <w:noWrap/>
            <w:hideMark/>
          </w:tcPr>
          <w:p w:rsidR="00953DDF" w:rsidRPr="006455B5" w:rsidRDefault="00953DDF" w:rsidP="00F3284E">
            <w:pPr>
              <w:rPr>
                <w:rFonts w:ascii="Calibri" w:hAnsi="Calibri" w:cs="Calibri"/>
                <w:b w:val="0"/>
                <w:sz w:val="20"/>
              </w:rPr>
            </w:pPr>
            <w:r w:rsidRPr="006455B5">
              <w:rPr>
                <w:rFonts w:ascii="Calibri" w:hAnsi="Calibri" w:cs="Calibri"/>
                <w:b w:val="0"/>
                <w:sz w:val="20"/>
              </w:rPr>
              <w:t xml:space="preserve">Autre, précisez </w:t>
            </w:r>
          </w:p>
        </w:tc>
        <w:tc>
          <w:tcPr>
            <w:tcW w:w="404" w:type="pct"/>
            <w:tcBorders>
              <w:top w:val="nil"/>
              <w:left w:val="single" w:sz="8" w:space="0" w:color="8064A2" w:themeColor="accent4"/>
              <w:bottom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3%</w:t>
            </w:r>
          </w:p>
        </w:tc>
        <w:tc>
          <w:tcPr>
            <w:tcW w:w="404" w:type="pct"/>
            <w:tcBorders>
              <w:left w:val="single" w:sz="8" w:space="0" w:color="8064A2" w:themeColor="accent4"/>
              <w:bottom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13%</w:t>
            </w:r>
          </w:p>
        </w:tc>
        <w:tc>
          <w:tcPr>
            <w:tcW w:w="405" w:type="pct"/>
            <w:tcBorders>
              <w:top w:val="nil"/>
              <w:left w:val="single" w:sz="8" w:space="0" w:color="8064A2" w:themeColor="accent4"/>
              <w:bottom w:val="single" w:sz="8" w:space="0" w:color="8064A2" w:themeColor="accent4"/>
              <w:righ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4%</w:t>
            </w:r>
          </w:p>
        </w:tc>
        <w:tc>
          <w:tcPr>
            <w:tcW w:w="404" w:type="pct"/>
            <w:tcBorders>
              <w:left w:val="single" w:sz="8" w:space="0" w:color="8064A2" w:themeColor="accent4"/>
            </w:tcBorders>
          </w:tcPr>
          <w:p w:rsidR="00953DDF" w:rsidRPr="006455B5" w:rsidRDefault="00953DDF" w:rsidP="00F32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455B5">
              <w:rPr>
                <w:rFonts w:ascii="Calibri" w:hAnsi="Calibri" w:cs="Calibri"/>
                <w:sz w:val="20"/>
              </w:rPr>
              <w:t>0%</w:t>
            </w:r>
          </w:p>
        </w:tc>
        <w:tc>
          <w:tcPr>
            <w:tcW w:w="404"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7%</w:t>
            </w:r>
          </w:p>
        </w:tc>
        <w:tc>
          <w:tcPr>
            <w:tcW w:w="405" w:type="pct"/>
            <w:tcBorders>
              <w:left w:val="single" w:sz="8" w:space="0" w:color="8064A2" w:themeColor="accent4"/>
            </w:tcBorders>
            <w:vAlign w:val="bottom"/>
          </w:tcPr>
          <w:p w:rsidR="00953DDF" w:rsidRPr="00417399" w:rsidRDefault="00953DDF"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417399">
              <w:rPr>
                <w:rFonts w:ascii="Calibri" w:hAnsi="Calibri" w:cs="Calibri"/>
                <w:sz w:val="20"/>
              </w:rPr>
              <w:t>29%</w:t>
            </w:r>
          </w:p>
        </w:tc>
      </w:tr>
    </w:tbl>
    <w:p w:rsidR="002B1371" w:rsidRPr="002436B1" w:rsidRDefault="002B1371" w:rsidP="002B1371">
      <w:pPr>
        <w:jc w:val="both"/>
        <w:rPr>
          <w:rFonts w:ascii="Calibri" w:hAnsi="Calibri" w:cs="Calibri"/>
        </w:rPr>
      </w:pPr>
    </w:p>
    <w:p w:rsidR="00F2707E" w:rsidRDefault="000E2E7B" w:rsidP="002B1371">
      <w:pPr>
        <w:jc w:val="both"/>
        <w:rPr>
          <w:rFonts w:ascii="Calibri" w:hAnsi="Calibri" w:cs="Calibri"/>
        </w:rPr>
      </w:pPr>
      <w:r>
        <w:rPr>
          <w:rFonts w:ascii="Calibri" w:hAnsi="Calibri" w:cs="Calibri"/>
        </w:rPr>
        <w:t xml:space="preserve">Le véhicule est au centre des actions envisagées par les </w:t>
      </w:r>
      <w:r w:rsidR="002B1371" w:rsidRPr="002436B1">
        <w:rPr>
          <w:rFonts w:ascii="Calibri" w:hAnsi="Calibri" w:cs="Calibri"/>
        </w:rPr>
        <w:t>prestataires transport-logistique pour adapter leur organisation aux livraisons en ville</w:t>
      </w:r>
      <w:r>
        <w:rPr>
          <w:rFonts w:ascii="Calibri" w:hAnsi="Calibri" w:cs="Calibri"/>
        </w:rPr>
        <w:t xml:space="preserve">, qu’il s’agisse de réduire </w:t>
      </w:r>
      <w:r w:rsidR="00B308D5">
        <w:rPr>
          <w:rFonts w:ascii="Calibri" w:hAnsi="Calibri" w:cs="Calibri"/>
        </w:rPr>
        <w:t>sa</w:t>
      </w:r>
      <w:r>
        <w:rPr>
          <w:rFonts w:ascii="Calibri" w:hAnsi="Calibri" w:cs="Calibri"/>
        </w:rPr>
        <w:t xml:space="preserve"> taille (mesure </w:t>
      </w:r>
      <w:r w:rsidR="00F2707E">
        <w:rPr>
          <w:rFonts w:ascii="Calibri" w:hAnsi="Calibri" w:cs="Calibri"/>
        </w:rPr>
        <w:t>envisagée</w:t>
      </w:r>
      <w:r>
        <w:rPr>
          <w:rFonts w:ascii="Calibri" w:hAnsi="Calibri" w:cs="Calibri"/>
        </w:rPr>
        <w:t xml:space="preserve"> par </w:t>
      </w:r>
      <w:r w:rsidR="00F2707E">
        <w:rPr>
          <w:rFonts w:ascii="Calibri" w:hAnsi="Calibri" w:cs="Calibri"/>
        </w:rPr>
        <w:t>un quart des transporteurs routiers de marchandises), ou d’opter pour des motorisations plus « propres » (</w:t>
      </w:r>
      <w:r w:rsidR="00A168C7">
        <w:rPr>
          <w:rFonts w:ascii="Calibri" w:hAnsi="Calibri" w:cs="Calibri"/>
        </w:rPr>
        <w:t xml:space="preserve">mesure </w:t>
      </w:r>
      <w:r w:rsidR="00F2707E">
        <w:rPr>
          <w:rFonts w:ascii="Calibri" w:hAnsi="Calibri" w:cs="Calibri"/>
        </w:rPr>
        <w:t>cité</w:t>
      </w:r>
      <w:r w:rsidR="00A168C7">
        <w:rPr>
          <w:rFonts w:ascii="Calibri" w:hAnsi="Calibri" w:cs="Calibri"/>
        </w:rPr>
        <w:t>e</w:t>
      </w:r>
      <w:r w:rsidR="00F2707E">
        <w:rPr>
          <w:rFonts w:ascii="Calibri" w:hAnsi="Calibri" w:cs="Calibri"/>
        </w:rPr>
        <w:t xml:space="preserve"> par 43% des transporteurs routiers de marchandises)</w:t>
      </w:r>
      <w:r w:rsidR="002B1371" w:rsidRPr="002436B1">
        <w:rPr>
          <w:rFonts w:ascii="Calibri" w:hAnsi="Calibri" w:cs="Calibri"/>
        </w:rPr>
        <w:t>.</w:t>
      </w:r>
      <w:r w:rsidR="00F2707E">
        <w:rPr>
          <w:rFonts w:ascii="Calibri" w:hAnsi="Calibri" w:cs="Calibri"/>
        </w:rPr>
        <w:t xml:space="preserve"> </w:t>
      </w:r>
    </w:p>
    <w:p w:rsidR="002B1371" w:rsidRPr="002436B1" w:rsidRDefault="00F2707E" w:rsidP="002B1371">
      <w:pPr>
        <w:jc w:val="both"/>
        <w:rPr>
          <w:rFonts w:ascii="Calibri" w:hAnsi="Calibri" w:cs="Calibri"/>
        </w:rPr>
      </w:pPr>
      <w:r>
        <w:rPr>
          <w:rFonts w:ascii="Calibri" w:hAnsi="Calibri" w:cs="Calibri"/>
        </w:rPr>
        <w:t>Les démarches de mutualisation des flux séduisent également trois transporteurs sur dix</w:t>
      </w:r>
      <w:r w:rsidR="00793E8D">
        <w:rPr>
          <w:rFonts w:ascii="Calibri" w:hAnsi="Calibri" w:cs="Calibri"/>
        </w:rPr>
        <w:t xml:space="preserve">, d’autant qu’elles permettent de rentabiliser certaines activités en augmentant le taux de remplissage des moyens de transport. </w:t>
      </w:r>
    </w:p>
    <w:p w:rsidR="002B1371" w:rsidRPr="002436B1" w:rsidRDefault="002B1371" w:rsidP="002B1371">
      <w:pPr>
        <w:jc w:val="both"/>
        <w:rPr>
          <w:rFonts w:ascii="Calibri" w:hAnsi="Calibri" w:cs="Calibri"/>
        </w:rPr>
      </w:pPr>
    </w:p>
    <w:p w:rsidR="002B1371" w:rsidRPr="00186C98" w:rsidRDefault="002218C9" w:rsidP="002B1371">
      <w:pPr>
        <w:rPr>
          <w:rFonts w:ascii="Arial Black" w:hAnsi="Arial Black" w:cs="Calibri"/>
          <w:b/>
          <w:bCs/>
          <w:color w:val="632423"/>
        </w:rPr>
      </w:pPr>
      <w:r>
        <w:rPr>
          <w:rFonts w:ascii="Arial Black" w:hAnsi="Arial Black" w:cs="Calibri"/>
          <w:b/>
          <w:bCs/>
          <w:color w:val="632423"/>
        </w:rPr>
        <w:t xml:space="preserve">Une majorité d’établissements vendent aux ménages </w:t>
      </w:r>
      <w:r w:rsidR="00953DDF">
        <w:rPr>
          <w:rFonts w:ascii="Arial Black" w:hAnsi="Arial Black" w:cs="Calibri"/>
          <w:b/>
          <w:bCs/>
          <w:color w:val="632423"/>
        </w:rPr>
        <w:t>sur</w:t>
      </w:r>
      <w:r>
        <w:rPr>
          <w:rFonts w:ascii="Arial Black" w:hAnsi="Arial Black" w:cs="Calibri"/>
          <w:b/>
          <w:bCs/>
          <w:color w:val="632423"/>
        </w:rPr>
        <w:t xml:space="preserve"> Internet</w:t>
      </w:r>
    </w:p>
    <w:p w:rsidR="00442B2A" w:rsidRDefault="00442B2A" w:rsidP="002B1371">
      <w:pPr>
        <w:jc w:val="center"/>
        <w:rPr>
          <w:rFonts w:ascii="Calibri" w:hAnsi="Calibri" w:cs="Calibri"/>
          <w:b/>
          <w:bCs/>
        </w:rPr>
      </w:pPr>
    </w:p>
    <w:p w:rsidR="002B1371" w:rsidRDefault="002B1371" w:rsidP="002B1371">
      <w:pPr>
        <w:jc w:val="center"/>
        <w:rPr>
          <w:rFonts w:ascii="Calibri" w:hAnsi="Calibri" w:cs="Calibri"/>
          <w:b/>
          <w:bCs/>
        </w:rPr>
      </w:pPr>
      <w:r w:rsidRPr="002436B1">
        <w:rPr>
          <w:rFonts w:ascii="Calibri" w:hAnsi="Calibri" w:cs="Calibri"/>
          <w:b/>
          <w:bCs/>
        </w:rPr>
        <w:t>Pourcentage d’établissements dont l’activité est à dominante :</w:t>
      </w:r>
    </w:p>
    <w:p w:rsidR="00EE4CC2" w:rsidRPr="002436B1" w:rsidRDefault="00EE4CC2" w:rsidP="002B1371">
      <w:pPr>
        <w:jc w:val="center"/>
        <w:rPr>
          <w:rFonts w:ascii="Calibri" w:hAnsi="Calibri" w:cs="Calibri"/>
          <w:b/>
          <w:bCs/>
        </w:rPr>
      </w:pPr>
    </w:p>
    <w:tbl>
      <w:tblPr>
        <w:tblStyle w:val="Trameclaire-Accent2"/>
        <w:tblW w:w="4244" w:type="pct"/>
        <w:tblLook w:val="04A0" w:firstRow="1" w:lastRow="0" w:firstColumn="1" w:lastColumn="0" w:noHBand="0" w:noVBand="1"/>
      </w:tblPr>
      <w:tblGrid>
        <w:gridCol w:w="2518"/>
        <w:gridCol w:w="1467"/>
        <w:gridCol w:w="1468"/>
        <w:gridCol w:w="1468"/>
        <w:gridCol w:w="1468"/>
        <w:gridCol w:w="1468"/>
        <w:gridCol w:w="1468"/>
        <w:gridCol w:w="1466"/>
      </w:tblGrid>
      <w:tr w:rsidR="00306147" w:rsidRPr="00306147" w:rsidTr="0030614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84" w:type="pct"/>
            <w:noWrap/>
          </w:tcPr>
          <w:p w:rsidR="002B1371" w:rsidRPr="00306147" w:rsidRDefault="002B1371" w:rsidP="00F3284E">
            <w:pPr>
              <w:jc w:val="center"/>
              <w:rPr>
                <w:rFonts w:ascii="Calibri" w:hAnsi="Calibri" w:cs="Calibri"/>
                <w:b w:val="0"/>
                <w:color w:val="auto"/>
                <w:sz w:val="22"/>
                <w:szCs w:val="22"/>
              </w:rPr>
            </w:pPr>
          </w:p>
        </w:tc>
        <w:tc>
          <w:tcPr>
            <w:tcW w:w="573"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IAA</w:t>
            </w:r>
          </w:p>
        </w:tc>
        <w:tc>
          <w:tcPr>
            <w:tcW w:w="574"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PHAR</w:t>
            </w:r>
          </w:p>
        </w:tc>
        <w:tc>
          <w:tcPr>
            <w:tcW w:w="574"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AUTO</w:t>
            </w:r>
          </w:p>
        </w:tc>
        <w:tc>
          <w:tcPr>
            <w:tcW w:w="574"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IEM</w:t>
            </w:r>
          </w:p>
        </w:tc>
        <w:tc>
          <w:tcPr>
            <w:tcW w:w="574"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CHIM</w:t>
            </w:r>
          </w:p>
        </w:tc>
        <w:tc>
          <w:tcPr>
            <w:tcW w:w="574"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COM</w:t>
            </w:r>
          </w:p>
        </w:tc>
        <w:tc>
          <w:tcPr>
            <w:tcW w:w="573" w:type="pct"/>
            <w:noWrap/>
          </w:tcPr>
          <w:p w:rsidR="002B1371" w:rsidRPr="00306147" w:rsidRDefault="002B1371" w:rsidP="00DB75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06147">
              <w:rPr>
                <w:rFonts w:ascii="Calibri" w:hAnsi="Calibri" w:cs="Calibri"/>
                <w:b w:val="0"/>
                <w:color w:val="auto"/>
                <w:sz w:val="22"/>
                <w:szCs w:val="22"/>
              </w:rPr>
              <w:t>Total</w:t>
            </w:r>
          </w:p>
        </w:tc>
      </w:tr>
      <w:tr w:rsidR="00306147" w:rsidRPr="00306147"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84" w:type="pct"/>
            <w:noWrap/>
          </w:tcPr>
          <w:p w:rsidR="00C21546" w:rsidRPr="00306147" w:rsidRDefault="00C21546" w:rsidP="00F3284E">
            <w:pPr>
              <w:jc w:val="both"/>
              <w:rPr>
                <w:rFonts w:ascii="Calibri" w:hAnsi="Calibri" w:cs="Calibri"/>
                <w:b w:val="0"/>
                <w:color w:val="auto"/>
                <w:sz w:val="22"/>
                <w:szCs w:val="22"/>
              </w:rPr>
            </w:pPr>
            <w:r w:rsidRPr="00306147">
              <w:rPr>
                <w:rFonts w:ascii="Calibri" w:hAnsi="Calibri" w:cs="Calibri"/>
                <w:b w:val="0"/>
                <w:color w:val="auto"/>
                <w:sz w:val="22"/>
                <w:szCs w:val="22"/>
              </w:rPr>
              <w:t>B to B</w:t>
            </w:r>
          </w:p>
        </w:tc>
        <w:tc>
          <w:tcPr>
            <w:tcW w:w="573"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86%</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91%</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100%</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96%</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90%</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89%</w:t>
            </w:r>
          </w:p>
        </w:tc>
        <w:tc>
          <w:tcPr>
            <w:tcW w:w="573"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91%</w:t>
            </w:r>
          </w:p>
        </w:tc>
      </w:tr>
      <w:tr w:rsidR="00306147" w:rsidRPr="00306147" w:rsidTr="00306147">
        <w:trPr>
          <w:trHeight w:val="225"/>
        </w:trPr>
        <w:tc>
          <w:tcPr>
            <w:cnfStyle w:val="001000000000" w:firstRow="0" w:lastRow="0" w:firstColumn="1" w:lastColumn="0" w:oddVBand="0" w:evenVBand="0" w:oddHBand="0" w:evenHBand="0" w:firstRowFirstColumn="0" w:firstRowLastColumn="0" w:lastRowFirstColumn="0" w:lastRowLastColumn="0"/>
            <w:tcW w:w="984" w:type="pct"/>
            <w:noWrap/>
          </w:tcPr>
          <w:p w:rsidR="00C21546" w:rsidRPr="00306147" w:rsidRDefault="00C21546" w:rsidP="00F3284E">
            <w:pPr>
              <w:jc w:val="both"/>
              <w:rPr>
                <w:rFonts w:ascii="Calibri" w:hAnsi="Calibri" w:cs="Calibri"/>
                <w:b w:val="0"/>
                <w:color w:val="auto"/>
                <w:sz w:val="22"/>
                <w:szCs w:val="22"/>
              </w:rPr>
            </w:pPr>
            <w:r w:rsidRPr="00306147">
              <w:rPr>
                <w:rFonts w:ascii="Calibri" w:hAnsi="Calibri" w:cs="Calibri"/>
                <w:b w:val="0"/>
                <w:color w:val="auto"/>
                <w:sz w:val="22"/>
                <w:szCs w:val="22"/>
              </w:rPr>
              <w:t>B to C</w:t>
            </w:r>
          </w:p>
        </w:tc>
        <w:tc>
          <w:tcPr>
            <w:tcW w:w="573"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13%</w:t>
            </w:r>
          </w:p>
        </w:tc>
        <w:tc>
          <w:tcPr>
            <w:tcW w:w="574"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7%</w:t>
            </w:r>
          </w:p>
        </w:tc>
        <w:tc>
          <w:tcPr>
            <w:tcW w:w="574"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0%</w:t>
            </w:r>
          </w:p>
        </w:tc>
        <w:tc>
          <w:tcPr>
            <w:tcW w:w="574"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1%</w:t>
            </w:r>
          </w:p>
        </w:tc>
        <w:tc>
          <w:tcPr>
            <w:tcW w:w="574"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6%</w:t>
            </w:r>
          </w:p>
        </w:tc>
        <w:tc>
          <w:tcPr>
            <w:tcW w:w="574"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10%</w:t>
            </w:r>
          </w:p>
        </w:tc>
        <w:tc>
          <w:tcPr>
            <w:tcW w:w="573" w:type="pct"/>
            <w:noWrap/>
          </w:tcPr>
          <w:p w:rsidR="00C21546" w:rsidRPr="00306147" w:rsidRDefault="00C21546" w:rsidP="00DB75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7%</w:t>
            </w:r>
          </w:p>
        </w:tc>
      </w:tr>
      <w:tr w:rsidR="00306147" w:rsidRPr="00306147" w:rsidTr="003061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84" w:type="pct"/>
            <w:noWrap/>
          </w:tcPr>
          <w:p w:rsidR="00C21546" w:rsidRPr="00306147" w:rsidRDefault="00C21546" w:rsidP="00F3284E">
            <w:pPr>
              <w:jc w:val="both"/>
              <w:rPr>
                <w:rFonts w:ascii="Calibri" w:hAnsi="Calibri" w:cs="Calibri"/>
                <w:b w:val="0"/>
                <w:color w:val="auto"/>
                <w:sz w:val="22"/>
                <w:szCs w:val="22"/>
              </w:rPr>
            </w:pPr>
            <w:r w:rsidRPr="00306147">
              <w:rPr>
                <w:rFonts w:ascii="Calibri" w:hAnsi="Calibri" w:cs="Calibri"/>
                <w:b w:val="0"/>
                <w:color w:val="auto"/>
                <w:sz w:val="22"/>
                <w:szCs w:val="22"/>
              </w:rPr>
              <w:t>Ne se prononce pas</w:t>
            </w:r>
          </w:p>
        </w:tc>
        <w:tc>
          <w:tcPr>
            <w:tcW w:w="573"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1%</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2%</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0%</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3%</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4%</w:t>
            </w:r>
          </w:p>
        </w:tc>
        <w:tc>
          <w:tcPr>
            <w:tcW w:w="574"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1%</w:t>
            </w:r>
          </w:p>
        </w:tc>
        <w:tc>
          <w:tcPr>
            <w:tcW w:w="573" w:type="pct"/>
            <w:noWrap/>
          </w:tcPr>
          <w:p w:rsidR="00C21546" w:rsidRPr="00306147" w:rsidRDefault="00C21546" w:rsidP="00DB75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06147">
              <w:rPr>
                <w:rFonts w:ascii="Calibri" w:hAnsi="Calibri" w:cs="Calibri"/>
                <w:color w:val="auto"/>
                <w:sz w:val="22"/>
                <w:szCs w:val="22"/>
              </w:rPr>
              <w:t>2%</w:t>
            </w:r>
          </w:p>
        </w:tc>
      </w:tr>
    </w:tbl>
    <w:p w:rsidR="002B1371" w:rsidRPr="002436B1" w:rsidRDefault="002B1371" w:rsidP="002B1371">
      <w:pPr>
        <w:jc w:val="center"/>
        <w:rPr>
          <w:rFonts w:ascii="Calibri" w:hAnsi="Calibri" w:cs="Calibri"/>
          <w:b/>
          <w:bCs/>
        </w:rPr>
      </w:pPr>
    </w:p>
    <w:p w:rsidR="0007443A" w:rsidRDefault="0007443A" w:rsidP="002B1371">
      <w:pPr>
        <w:jc w:val="both"/>
        <w:rPr>
          <w:rFonts w:ascii="Calibri" w:hAnsi="Calibri" w:cs="Calibri"/>
        </w:rPr>
      </w:pPr>
    </w:p>
    <w:p w:rsidR="00590081" w:rsidRDefault="00713DE0" w:rsidP="002B1371">
      <w:pPr>
        <w:jc w:val="both"/>
        <w:rPr>
          <w:rFonts w:ascii="Calibri" w:hAnsi="Calibri" w:cs="Calibri"/>
        </w:rPr>
      </w:pPr>
      <w:r>
        <w:rPr>
          <w:rFonts w:ascii="Calibri" w:hAnsi="Calibri" w:cs="Calibri"/>
        </w:rPr>
        <w:t>Parmi l</w:t>
      </w:r>
      <w:r w:rsidR="002B1371" w:rsidRPr="002436B1">
        <w:rPr>
          <w:rFonts w:ascii="Calibri" w:hAnsi="Calibri" w:cs="Calibri"/>
        </w:rPr>
        <w:t>es établissements industriels et commerciaux sondés</w:t>
      </w:r>
      <w:r>
        <w:rPr>
          <w:rFonts w:ascii="Calibri" w:hAnsi="Calibri" w:cs="Calibri"/>
        </w:rPr>
        <w:t>, neuf sur dix</w:t>
      </w:r>
      <w:r w:rsidR="002B1371" w:rsidRPr="002436B1">
        <w:rPr>
          <w:rFonts w:ascii="Calibri" w:hAnsi="Calibri" w:cs="Calibri"/>
        </w:rPr>
        <w:t xml:space="preserve"> ont une activité </w:t>
      </w:r>
      <w:r w:rsidR="00590081">
        <w:rPr>
          <w:rFonts w:ascii="Calibri" w:hAnsi="Calibri" w:cs="Calibri"/>
        </w:rPr>
        <w:t xml:space="preserve">à dominante </w:t>
      </w:r>
      <w:r w:rsidR="00590081" w:rsidRPr="002436B1">
        <w:rPr>
          <w:rFonts w:ascii="Calibri" w:hAnsi="Calibri" w:cs="Calibri"/>
        </w:rPr>
        <w:t>Business to Business</w:t>
      </w:r>
      <w:r w:rsidR="00590081">
        <w:rPr>
          <w:rFonts w:ascii="Calibri" w:hAnsi="Calibri" w:cs="Calibri"/>
        </w:rPr>
        <w:t>, c’est-à-dire tournée</w:t>
      </w:r>
      <w:r w:rsidR="00590081" w:rsidRPr="002436B1">
        <w:rPr>
          <w:rFonts w:ascii="Calibri" w:hAnsi="Calibri" w:cs="Calibri"/>
        </w:rPr>
        <w:t xml:space="preserve"> </w:t>
      </w:r>
      <w:r w:rsidR="002B1371" w:rsidRPr="002436B1">
        <w:rPr>
          <w:rFonts w:ascii="Calibri" w:hAnsi="Calibri" w:cs="Calibri"/>
        </w:rPr>
        <w:t xml:space="preserve">vers une clientèle de professionnels et d’entreprises. </w:t>
      </w:r>
      <w:r w:rsidR="00C820C3">
        <w:rPr>
          <w:rFonts w:ascii="Calibri" w:hAnsi="Calibri" w:cs="Calibri"/>
        </w:rPr>
        <w:t>La taille d</w:t>
      </w:r>
      <w:r w:rsidR="00C820C3" w:rsidRPr="00590081">
        <w:rPr>
          <w:rFonts w:ascii="Calibri" w:hAnsi="Calibri" w:cs="Calibri"/>
        </w:rPr>
        <w:t xml:space="preserve">es entreprises industrielles interrogées </w:t>
      </w:r>
      <w:r w:rsidR="00C820C3" w:rsidRPr="0029223F">
        <w:rPr>
          <w:rFonts w:ascii="Calibri" w:hAnsi="Calibri" w:cs="Calibri"/>
        </w:rPr>
        <w:t>explique en effet que leurs</w:t>
      </w:r>
      <w:r w:rsidR="00C820C3" w:rsidRPr="00590081">
        <w:rPr>
          <w:rFonts w:ascii="Calibri" w:hAnsi="Calibri" w:cs="Calibri"/>
        </w:rPr>
        <w:t xml:space="preserve"> clients directs ne so</w:t>
      </w:r>
      <w:r w:rsidR="00C820C3" w:rsidRPr="0029223F">
        <w:rPr>
          <w:rFonts w:ascii="Calibri" w:hAnsi="Calibri" w:cs="Calibri"/>
        </w:rPr>
        <w:t>ie</w:t>
      </w:r>
      <w:r w:rsidR="00C820C3" w:rsidRPr="00590081">
        <w:rPr>
          <w:rFonts w:ascii="Calibri" w:hAnsi="Calibri" w:cs="Calibri"/>
        </w:rPr>
        <w:t>nt pas des consommateurs finaux</w:t>
      </w:r>
      <w:r w:rsidR="00C820C3" w:rsidRPr="0029223F">
        <w:rPr>
          <w:rFonts w:ascii="Calibri" w:hAnsi="Calibri" w:cs="Calibri"/>
        </w:rPr>
        <w:t xml:space="preserve">. En outre, </w:t>
      </w:r>
      <w:r w:rsidR="0013035C" w:rsidRPr="0029223F">
        <w:rPr>
          <w:rFonts w:ascii="Calibri" w:hAnsi="Calibri" w:cs="Calibri"/>
        </w:rPr>
        <w:t xml:space="preserve">dans le secteur commercial, ce sont surtout des établissements de commerce de gros qui sont sondés. </w:t>
      </w:r>
    </w:p>
    <w:p w:rsidR="00590081" w:rsidRDefault="00590081" w:rsidP="002B1371">
      <w:pPr>
        <w:jc w:val="both"/>
        <w:rPr>
          <w:rFonts w:ascii="Calibri" w:hAnsi="Calibri" w:cs="Calibri"/>
        </w:rPr>
      </w:pPr>
    </w:p>
    <w:p w:rsidR="00C820C3" w:rsidRDefault="00C820C3" w:rsidP="002B1371">
      <w:pPr>
        <w:jc w:val="both"/>
        <w:rPr>
          <w:rFonts w:ascii="Calibri" w:hAnsi="Calibri" w:cs="Calibri"/>
        </w:rPr>
      </w:pPr>
    </w:p>
    <w:p w:rsidR="00C820C3" w:rsidRPr="00C820C3" w:rsidRDefault="00C820C3" w:rsidP="00C820C3">
      <w:pPr>
        <w:jc w:val="center"/>
        <w:rPr>
          <w:rFonts w:ascii="Calibri" w:hAnsi="Calibri" w:cs="Calibri"/>
          <w:b/>
          <w:bCs/>
        </w:rPr>
      </w:pPr>
      <w:r w:rsidRPr="00C820C3">
        <w:rPr>
          <w:rFonts w:ascii="Calibri" w:hAnsi="Calibri" w:cs="Calibri"/>
          <w:b/>
          <w:bCs/>
        </w:rPr>
        <w:t>Pourcentage d’établissement</w:t>
      </w:r>
      <w:r w:rsidR="0013035C">
        <w:rPr>
          <w:rFonts w:ascii="Calibri" w:hAnsi="Calibri" w:cs="Calibri"/>
          <w:b/>
          <w:bCs/>
        </w:rPr>
        <w:t>s</w:t>
      </w:r>
      <w:r w:rsidRPr="00C820C3">
        <w:rPr>
          <w:rFonts w:ascii="Calibri" w:hAnsi="Calibri" w:cs="Calibri"/>
          <w:b/>
          <w:bCs/>
        </w:rPr>
        <w:t xml:space="preserve"> </w:t>
      </w:r>
      <w:r w:rsidR="0013035C">
        <w:rPr>
          <w:rFonts w:ascii="Calibri" w:hAnsi="Calibri" w:cs="Calibri"/>
          <w:b/>
          <w:bCs/>
        </w:rPr>
        <w:t xml:space="preserve">à l’activité </w:t>
      </w:r>
      <w:r w:rsidRPr="00C820C3">
        <w:rPr>
          <w:rFonts w:ascii="Calibri" w:hAnsi="Calibri" w:cs="Calibri"/>
          <w:b/>
          <w:bCs/>
        </w:rPr>
        <w:t>B to C commercialisant des produit</w:t>
      </w:r>
      <w:r w:rsidR="0013035C">
        <w:rPr>
          <w:rFonts w:ascii="Calibri" w:hAnsi="Calibri" w:cs="Calibri"/>
          <w:b/>
          <w:bCs/>
        </w:rPr>
        <w:t>s</w:t>
      </w:r>
      <w:r w:rsidRPr="00C820C3">
        <w:rPr>
          <w:rFonts w:ascii="Calibri" w:hAnsi="Calibri" w:cs="Calibri"/>
          <w:b/>
          <w:bCs/>
        </w:rPr>
        <w:t xml:space="preserve"> par Internet</w:t>
      </w:r>
    </w:p>
    <w:p w:rsidR="002B1371" w:rsidRDefault="002B1371" w:rsidP="002B1371">
      <w:pPr>
        <w:jc w:val="both"/>
        <w:rPr>
          <w:rFonts w:ascii="Calibri" w:hAnsi="Calibri" w:cs="Calibri"/>
        </w:rPr>
      </w:pPr>
    </w:p>
    <w:tbl>
      <w:tblPr>
        <w:tblStyle w:val="Trameclaire-Accent3"/>
        <w:tblW w:w="11023" w:type="dxa"/>
        <w:tblLayout w:type="fixed"/>
        <w:tblLook w:val="04A0" w:firstRow="1" w:lastRow="0" w:firstColumn="1" w:lastColumn="0" w:noHBand="0" w:noVBand="1"/>
      </w:tblPr>
      <w:tblGrid>
        <w:gridCol w:w="3227"/>
        <w:gridCol w:w="1113"/>
        <w:gridCol w:w="1114"/>
        <w:gridCol w:w="1114"/>
        <w:gridCol w:w="1113"/>
        <w:gridCol w:w="1114"/>
        <w:gridCol w:w="1114"/>
        <w:gridCol w:w="1114"/>
      </w:tblGrid>
      <w:tr w:rsidR="0013035C" w:rsidRPr="00DB75EB" w:rsidTr="0041739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27" w:type="dxa"/>
            <w:noWrap/>
            <w:hideMark/>
          </w:tcPr>
          <w:p w:rsidR="0013035C" w:rsidRPr="00DB75EB" w:rsidRDefault="0013035C">
            <w:pPr>
              <w:rPr>
                <w:rFonts w:ascii="Calibri" w:hAnsi="Calibri" w:cs="Calibri"/>
                <w:b w:val="0"/>
                <w:color w:val="000000"/>
                <w:sz w:val="22"/>
                <w:szCs w:val="16"/>
              </w:rPr>
            </w:pPr>
          </w:p>
        </w:tc>
        <w:tc>
          <w:tcPr>
            <w:tcW w:w="1113"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IAA</w:t>
            </w:r>
          </w:p>
        </w:tc>
        <w:tc>
          <w:tcPr>
            <w:tcW w:w="1114"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PHAR</w:t>
            </w:r>
          </w:p>
        </w:tc>
        <w:tc>
          <w:tcPr>
            <w:tcW w:w="1114"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AUTO</w:t>
            </w:r>
          </w:p>
        </w:tc>
        <w:tc>
          <w:tcPr>
            <w:tcW w:w="1113"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IEM</w:t>
            </w:r>
          </w:p>
        </w:tc>
        <w:tc>
          <w:tcPr>
            <w:tcW w:w="1114"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CHIM</w:t>
            </w:r>
          </w:p>
        </w:tc>
        <w:tc>
          <w:tcPr>
            <w:tcW w:w="1114"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COM</w:t>
            </w:r>
          </w:p>
        </w:tc>
        <w:tc>
          <w:tcPr>
            <w:tcW w:w="1114" w:type="dxa"/>
            <w:noWrap/>
            <w:hideMark/>
          </w:tcPr>
          <w:p w:rsidR="0013035C" w:rsidRPr="00DB75EB" w:rsidRDefault="0013035C" w:rsidP="004173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16"/>
              </w:rPr>
            </w:pPr>
            <w:r w:rsidRPr="00DB75EB">
              <w:rPr>
                <w:rFonts w:ascii="Calibri" w:hAnsi="Calibri" w:cs="Calibri"/>
                <w:b w:val="0"/>
                <w:color w:val="000000"/>
                <w:sz w:val="22"/>
                <w:szCs w:val="16"/>
              </w:rPr>
              <w:t>Total</w:t>
            </w:r>
          </w:p>
        </w:tc>
      </w:tr>
      <w:tr w:rsidR="0013035C" w:rsidRPr="00DB75EB" w:rsidTr="0041739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27" w:type="dxa"/>
            <w:noWrap/>
            <w:hideMark/>
          </w:tcPr>
          <w:p w:rsidR="0013035C" w:rsidRPr="00DB75EB" w:rsidRDefault="00417399">
            <w:pPr>
              <w:rPr>
                <w:rFonts w:ascii="Calibri" w:hAnsi="Calibri" w:cs="Calibri"/>
                <w:b w:val="0"/>
                <w:color w:val="000000"/>
                <w:sz w:val="22"/>
                <w:szCs w:val="16"/>
              </w:rPr>
            </w:pPr>
            <w:r>
              <w:rPr>
                <w:rFonts w:ascii="Calibri" w:hAnsi="Calibri" w:cs="Calibri"/>
                <w:b w:val="0"/>
                <w:color w:val="000000"/>
                <w:sz w:val="22"/>
                <w:szCs w:val="16"/>
              </w:rPr>
              <w:t>U</w:t>
            </w:r>
            <w:r w:rsidR="0013035C" w:rsidRPr="00DB75EB">
              <w:rPr>
                <w:rFonts w:ascii="Calibri" w:hAnsi="Calibri" w:cs="Calibri"/>
                <w:b w:val="0"/>
                <w:color w:val="000000"/>
                <w:sz w:val="22"/>
                <w:szCs w:val="16"/>
              </w:rPr>
              <w:t>ne majorité de produits</w:t>
            </w:r>
          </w:p>
        </w:tc>
        <w:tc>
          <w:tcPr>
            <w:tcW w:w="1113"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8%</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3"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17%</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25%</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19%</w:t>
            </w:r>
          </w:p>
        </w:tc>
      </w:tr>
      <w:tr w:rsidR="0013035C" w:rsidRPr="00DB75EB" w:rsidTr="00417399">
        <w:trPr>
          <w:trHeight w:val="225"/>
        </w:trPr>
        <w:tc>
          <w:tcPr>
            <w:cnfStyle w:val="001000000000" w:firstRow="0" w:lastRow="0" w:firstColumn="1" w:lastColumn="0" w:oddVBand="0" w:evenVBand="0" w:oddHBand="0" w:evenHBand="0" w:firstRowFirstColumn="0" w:firstRowLastColumn="0" w:lastRowFirstColumn="0" w:lastRowLastColumn="0"/>
            <w:tcW w:w="3227" w:type="dxa"/>
            <w:noWrap/>
            <w:hideMark/>
          </w:tcPr>
          <w:p w:rsidR="0013035C" w:rsidRPr="00DB75EB" w:rsidRDefault="00417399">
            <w:pPr>
              <w:rPr>
                <w:rFonts w:ascii="Calibri" w:hAnsi="Calibri" w:cs="Calibri"/>
                <w:b w:val="0"/>
                <w:color w:val="000000"/>
                <w:sz w:val="22"/>
                <w:szCs w:val="16"/>
              </w:rPr>
            </w:pPr>
            <w:r>
              <w:rPr>
                <w:rFonts w:ascii="Calibri" w:hAnsi="Calibri" w:cs="Calibri"/>
                <w:b w:val="0"/>
                <w:color w:val="000000"/>
                <w:sz w:val="22"/>
                <w:szCs w:val="16"/>
              </w:rPr>
              <w:t>U</w:t>
            </w:r>
            <w:r w:rsidR="0013035C" w:rsidRPr="00DB75EB">
              <w:rPr>
                <w:rFonts w:ascii="Calibri" w:hAnsi="Calibri" w:cs="Calibri"/>
                <w:b w:val="0"/>
                <w:color w:val="000000"/>
                <w:sz w:val="22"/>
                <w:szCs w:val="16"/>
              </w:rPr>
              <w:t>ne minorité de produits</w:t>
            </w:r>
          </w:p>
        </w:tc>
        <w:tc>
          <w:tcPr>
            <w:tcW w:w="1113"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67%</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64%</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3"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17%</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54%</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53%</w:t>
            </w:r>
          </w:p>
        </w:tc>
      </w:tr>
      <w:tr w:rsidR="0013035C" w:rsidRPr="00DB75EB" w:rsidTr="0041739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27" w:type="dxa"/>
            <w:noWrap/>
            <w:hideMark/>
          </w:tcPr>
          <w:p w:rsidR="0013035C" w:rsidRPr="00DB75EB" w:rsidRDefault="0013035C">
            <w:pPr>
              <w:rPr>
                <w:rFonts w:ascii="Calibri" w:hAnsi="Calibri" w:cs="Calibri"/>
                <w:b w:val="0"/>
                <w:color w:val="000000"/>
                <w:sz w:val="22"/>
                <w:szCs w:val="16"/>
              </w:rPr>
            </w:pPr>
            <w:r w:rsidRPr="00DB75EB">
              <w:rPr>
                <w:rFonts w:ascii="Calibri" w:hAnsi="Calibri" w:cs="Calibri"/>
                <w:b w:val="0"/>
                <w:color w:val="000000"/>
                <w:sz w:val="22"/>
                <w:szCs w:val="16"/>
              </w:rPr>
              <w:t>Pas de produit du tout</w:t>
            </w:r>
          </w:p>
        </w:tc>
        <w:tc>
          <w:tcPr>
            <w:tcW w:w="1113"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13%</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36%</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3"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41%</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21%</w:t>
            </w:r>
          </w:p>
        </w:tc>
        <w:tc>
          <w:tcPr>
            <w:tcW w:w="1114" w:type="dxa"/>
            <w:noWrap/>
            <w:hideMark/>
          </w:tcPr>
          <w:p w:rsidR="0013035C" w:rsidRPr="00DB75EB" w:rsidRDefault="0013035C" w:rsidP="004173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21%</w:t>
            </w:r>
          </w:p>
        </w:tc>
      </w:tr>
      <w:tr w:rsidR="0013035C" w:rsidRPr="00DB75EB" w:rsidTr="00417399">
        <w:trPr>
          <w:trHeight w:val="225"/>
        </w:trPr>
        <w:tc>
          <w:tcPr>
            <w:cnfStyle w:val="001000000000" w:firstRow="0" w:lastRow="0" w:firstColumn="1" w:lastColumn="0" w:oddVBand="0" w:evenVBand="0" w:oddHBand="0" w:evenHBand="0" w:firstRowFirstColumn="0" w:firstRowLastColumn="0" w:lastRowFirstColumn="0" w:lastRowLastColumn="0"/>
            <w:tcW w:w="3227" w:type="dxa"/>
            <w:noWrap/>
            <w:hideMark/>
          </w:tcPr>
          <w:p w:rsidR="0013035C" w:rsidRPr="00DB75EB" w:rsidRDefault="0013035C">
            <w:pPr>
              <w:rPr>
                <w:rFonts w:ascii="Calibri" w:hAnsi="Calibri" w:cs="Calibri"/>
                <w:b w:val="0"/>
                <w:color w:val="000000"/>
                <w:sz w:val="22"/>
                <w:szCs w:val="16"/>
              </w:rPr>
            </w:pPr>
            <w:r w:rsidRPr="00DB75EB">
              <w:rPr>
                <w:rFonts w:ascii="Calibri" w:hAnsi="Calibri" w:cs="Calibri"/>
                <w:b w:val="0"/>
                <w:color w:val="000000"/>
                <w:sz w:val="22"/>
                <w:szCs w:val="16"/>
              </w:rPr>
              <w:t>Ne se prononce pas</w:t>
            </w:r>
          </w:p>
        </w:tc>
        <w:tc>
          <w:tcPr>
            <w:tcW w:w="1113"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13%</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3"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100%</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24%</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0%</w:t>
            </w:r>
          </w:p>
        </w:tc>
        <w:tc>
          <w:tcPr>
            <w:tcW w:w="1114" w:type="dxa"/>
            <w:noWrap/>
            <w:hideMark/>
          </w:tcPr>
          <w:p w:rsidR="0013035C" w:rsidRPr="00DB75EB" w:rsidRDefault="0013035C" w:rsidP="004173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DB75EB">
              <w:rPr>
                <w:rFonts w:ascii="Calibri" w:hAnsi="Calibri" w:cs="Calibri"/>
                <w:color w:val="000000"/>
                <w:sz w:val="22"/>
                <w:szCs w:val="16"/>
              </w:rPr>
              <w:t>8%</w:t>
            </w:r>
          </w:p>
        </w:tc>
      </w:tr>
    </w:tbl>
    <w:p w:rsidR="00590081" w:rsidRDefault="00590081" w:rsidP="002B1371">
      <w:pPr>
        <w:jc w:val="both"/>
        <w:rPr>
          <w:rFonts w:ascii="Calibri" w:hAnsi="Calibri" w:cs="Calibri"/>
        </w:rPr>
      </w:pPr>
    </w:p>
    <w:p w:rsidR="00590081" w:rsidRDefault="00590081" w:rsidP="002B1371">
      <w:pPr>
        <w:jc w:val="both"/>
        <w:rPr>
          <w:rFonts w:ascii="Calibri" w:hAnsi="Calibri" w:cs="Calibri"/>
        </w:rPr>
      </w:pPr>
    </w:p>
    <w:p w:rsidR="0013035C" w:rsidRPr="002436B1" w:rsidRDefault="0007443A" w:rsidP="0013035C">
      <w:pPr>
        <w:jc w:val="both"/>
        <w:rPr>
          <w:rFonts w:ascii="Calibri" w:hAnsi="Calibri" w:cs="Calibri"/>
        </w:rPr>
      </w:pPr>
      <w:r>
        <w:rPr>
          <w:rFonts w:ascii="Calibri" w:hAnsi="Calibri" w:cs="Calibri"/>
        </w:rPr>
        <w:t>C</w:t>
      </w:r>
      <w:r w:rsidR="0013035C">
        <w:rPr>
          <w:rFonts w:ascii="Calibri" w:hAnsi="Calibri" w:cs="Calibri"/>
        </w:rPr>
        <w:t xml:space="preserve">eux dont les clients sont principalement des ménages </w:t>
      </w:r>
      <w:r w:rsidR="0013035C" w:rsidRPr="002436B1">
        <w:rPr>
          <w:rFonts w:ascii="Calibri" w:hAnsi="Calibri" w:cs="Calibri"/>
        </w:rPr>
        <w:t xml:space="preserve">(Business to Customer : </w:t>
      </w:r>
      <w:r w:rsidR="0013035C">
        <w:rPr>
          <w:rFonts w:ascii="Calibri" w:hAnsi="Calibri" w:cs="Calibri"/>
        </w:rPr>
        <w:t>7</w:t>
      </w:r>
      <w:r w:rsidR="0013035C" w:rsidRPr="002436B1">
        <w:rPr>
          <w:rFonts w:ascii="Calibri" w:hAnsi="Calibri" w:cs="Calibri"/>
        </w:rPr>
        <w:t xml:space="preserve">% des </w:t>
      </w:r>
      <w:r w:rsidR="0013035C">
        <w:rPr>
          <w:rFonts w:ascii="Calibri" w:hAnsi="Calibri" w:cs="Calibri"/>
        </w:rPr>
        <w:t xml:space="preserve">établissements </w:t>
      </w:r>
      <w:r w:rsidR="0013035C" w:rsidRPr="002436B1">
        <w:rPr>
          <w:rFonts w:ascii="Calibri" w:hAnsi="Calibri" w:cs="Calibri"/>
        </w:rPr>
        <w:t>sondés)</w:t>
      </w:r>
      <w:r>
        <w:rPr>
          <w:rFonts w:ascii="Calibri" w:hAnsi="Calibri" w:cs="Calibri"/>
        </w:rPr>
        <w:t xml:space="preserve"> ont recours</w:t>
      </w:r>
      <w:r w:rsidR="0013035C">
        <w:rPr>
          <w:rFonts w:ascii="Calibri" w:hAnsi="Calibri" w:cs="Calibri"/>
        </w:rPr>
        <w:t xml:space="preserve"> plus de sept </w:t>
      </w:r>
      <w:r>
        <w:rPr>
          <w:rFonts w:ascii="Calibri" w:hAnsi="Calibri" w:cs="Calibri"/>
        </w:rPr>
        <w:t>fois</w:t>
      </w:r>
      <w:r w:rsidR="0013035C" w:rsidRPr="002436B1">
        <w:rPr>
          <w:rFonts w:ascii="Calibri" w:hAnsi="Calibri" w:cs="Calibri"/>
        </w:rPr>
        <w:t xml:space="preserve"> </w:t>
      </w:r>
      <w:r w:rsidR="0013035C">
        <w:rPr>
          <w:rFonts w:ascii="Calibri" w:hAnsi="Calibri" w:cs="Calibri"/>
        </w:rPr>
        <w:t xml:space="preserve">sur </w:t>
      </w:r>
      <w:r w:rsidR="00A168C7">
        <w:rPr>
          <w:rFonts w:ascii="Calibri" w:hAnsi="Calibri" w:cs="Calibri"/>
        </w:rPr>
        <w:t>dix</w:t>
      </w:r>
      <w:r w:rsidR="0013035C">
        <w:rPr>
          <w:rFonts w:ascii="Calibri" w:hAnsi="Calibri" w:cs="Calibri"/>
        </w:rPr>
        <w:t xml:space="preserve"> au e-commerce et à Internet pour commercialiser</w:t>
      </w:r>
      <w:r w:rsidR="0013035C" w:rsidRPr="002436B1">
        <w:rPr>
          <w:rFonts w:ascii="Calibri" w:hAnsi="Calibri" w:cs="Calibri"/>
        </w:rPr>
        <w:t xml:space="preserve"> leurs produits. </w:t>
      </w:r>
    </w:p>
    <w:p w:rsidR="00590081" w:rsidRDefault="00590081" w:rsidP="002B1371">
      <w:pPr>
        <w:jc w:val="both"/>
        <w:rPr>
          <w:rFonts w:ascii="Calibri" w:hAnsi="Calibri" w:cs="Calibri"/>
        </w:rPr>
      </w:pPr>
    </w:p>
    <w:p w:rsidR="002B1371" w:rsidRPr="002436B1" w:rsidRDefault="002B1371" w:rsidP="002B1371">
      <w:pPr>
        <w:jc w:val="both"/>
        <w:rPr>
          <w:rFonts w:ascii="Calibri" w:hAnsi="Calibri" w:cs="Calibri"/>
        </w:rPr>
      </w:pPr>
    </w:p>
    <w:p w:rsidR="004B5A90" w:rsidRDefault="004B5A90">
      <w:pPr>
        <w:rPr>
          <w:rFonts w:ascii="Calibri" w:hAnsi="Calibri" w:cs="Calibri"/>
        </w:rPr>
      </w:pPr>
      <w:r>
        <w:rPr>
          <w:rFonts w:ascii="Calibri" w:hAnsi="Calibri" w:cs="Calibri"/>
        </w:rPr>
        <w:br w:type="page"/>
      </w:r>
    </w:p>
    <w:p w:rsidR="002B1371" w:rsidRPr="002436B1" w:rsidRDefault="002B1371" w:rsidP="002B1371">
      <w:pPr>
        <w:jc w:val="both"/>
        <w:rPr>
          <w:rFonts w:ascii="Calibri" w:hAnsi="Calibri" w:cs="Calibri"/>
        </w:rPr>
      </w:pPr>
    </w:p>
    <w:p w:rsidR="002B1371" w:rsidRPr="0011478C" w:rsidRDefault="002B1371" w:rsidP="002B1371">
      <w:pPr>
        <w:pStyle w:val="Titre1"/>
        <w:numPr>
          <w:ilvl w:val="1"/>
          <w:numId w:val="8"/>
        </w:numPr>
        <w:rPr>
          <w:rFonts w:ascii="Calibri" w:hAnsi="Calibri" w:cs="Calibri"/>
          <w:color w:val="984806" w:themeColor="accent6" w:themeShade="80"/>
          <w:sz w:val="32"/>
          <w:szCs w:val="32"/>
        </w:rPr>
      </w:pPr>
      <w:r w:rsidRPr="0011478C">
        <w:rPr>
          <w:rFonts w:ascii="Calibri" w:hAnsi="Calibri" w:cs="Calibri"/>
          <w:color w:val="984806" w:themeColor="accent6" w:themeShade="80"/>
          <w:sz w:val="32"/>
          <w:szCs w:val="32"/>
        </w:rPr>
        <w:t>Sous-traitance</w:t>
      </w:r>
    </w:p>
    <w:p w:rsidR="002B1371" w:rsidRPr="002436B1" w:rsidRDefault="002B1371" w:rsidP="002B1371">
      <w:pPr>
        <w:rPr>
          <w:rFonts w:ascii="Calibri" w:hAnsi="Calibri" w:cs="Calibri"/>
          <w:color w:val="4F6228"/>
          <w:sz w:val="16"/>
          <w:szCs w:val="16"/>
        </w:rPr>
      </w:pPr>
    </w:p>
    <w:p w:rsidR="002B1371" w:rsidRPr="00186C98" w:rsidRDefault="00B50001" w:rsidP="002B1371">
      <w:pPr>
        <w:rPr>
          <w:rFonts w:ascii="Arial Black" w:hAnsi="Arial Black" w:cs="Calibri"/>
          <w:b/>
          <w:bCs/>
          <w:color w:val="632423"/>
        </w:rPr>
      </w:pPr>
      <w:r>
        <w:rPr>
          <w:rFonts w:ascii="Arial Black" w:hAnsi="Arial Black" w:cs="Calibri"/>
          <w:b/>
          <w:bCs/>
          <w:color w:val="632423"/>
        </w:rPr>
        <w:t xml:space="preserve">Stabilité du taux d’établissements </w:t>
      </w:r>
      <w:r w:rsidR="00B944B7">
        <w:rPr>
          <w:rFonts w:ascii="Arial Black" w:hAnsi="Arial Black" w:cs="Calibri"/>
          <w:b/>
          <w:bCs/>
          <w:color w:val="632423"/>
        </w:rPr>
        <w:t xml:space="preserve">de 100 salariés et plus </w:t>
      </w:r>
      <w:r>
        <w:rPr>
          <w:rFonts w:ascii="Arial Black" w:hAnsi="Arial Black" w:cs="Calibri"/>
          <w:b/>
          <w:bCs/>
          <w:color w:val="632423"/>
        </w:rPr>
        <w:t>recourant à la sous-traitance</w:t>
      </w:r>
      <w:r w:rsidR="00017E73">
        <w:rPr>
          <w:rFonts w:ascii="Arial Black" w:hAnsi="Arial Black" w:cs="Calibri"/>
          <w:b/>
          <w:bCs/>
          <w:color w:val="632423"/>
        </w:rPr>
        <w:t xml:space="preserve"> des opérations de transpo</w:t>
      </w:r>
      <w:r w:rsidR="00664E6F">
        <w:rPr>
          <w:rFonts w:ascii="Arial Black" w:hAnsi="Arial Black" w:cs="Calibri"/>
          <w:b/>
          <w:bCs/>
          <w:color w:val="632423"/>
        </w:rPr>
        <w:t>rt et/ou de logistique</w:t>
      </w:r>
    </w:p>
    <w:p w:rsidR="00417399" w:rsidRDefault="00417399" w:rsidP="002B1371">
      <w:pPr>
        <w:jc w:val="center"/>
        <w:rPr>
          <w:rFonts w:ascii="Calibri" w:hAnsi="Calibri" w:cs="Calibri"/>
          <w:color w:val="800000"/>
        </w:rPr>
      </w:pPr>
    </w:p>
    <w:p w:rsidR="002B1371" w:rsidRPr="002436B1" w:rsidRDefault="002B1371" w:rsidP="002B1371">
      <w:pPr>
        <w:jc w:val="center"/>
        <w:rPr>
          <w:rFonts w:ascii="Calibri" w:hAnsi="Calibri" w:cs="Calibri"/>
          <w:b/>
          <w:bCs/>
        </w:rPr>
      </w:pPr>
      <w:r w:rsidRPr="002436B1">
        <w:rPr>
          <w:rFonts w:ascii="Calibri" w:hAnsi="Calibri" w:cs="Calibri"/>
          <w:b/>
          <w:bCs/>
        </w:rPr>
        <w:t>Evolution de la proportion d’établissements</w:t>
      </w:r>
      <w:r w:rsidR="009C7DA1">
        <w:rPr>
          <w:rFonts w:ascii="Calibri" w:hAnsi="Calibri" w:cs="Calibri"/>
          <w:b/>
          <w:bCs/>
        </w:rPr>
        <w:t xml:space="preserve"> de 100 salariés et plus</w:t>
      </w:r>
    </w:p>
    <w:p w:rsidR="002B1371" w:rsidRPr="002436B1" w:rsidRDefault="002B1371" w:rsidP="002B1371">
      <w:pPr>
        <w:jc w:val="center"/>
        <w:rPr>
          <w:rFonts w:ascii="Calibri" w:hAnsi="Calibri" w:cs="Calibri"/>
          <w:b/>
          <w:bCs/>
        </w:rPr>
      </w:pPr>
      <w:r w:rsidRPr="002436B1">
        <w:rPr>
          <w:rFonts w:ascii="Calibri" w:hAnsi="Calibri" w:cs="Calibri"/>
          <w:b/>
          <w:bCs/>
        </w:rPr>
        <w:t>ayant recours à la sous-traitance d’opérat</w:t>
      </w:r>
      <w:r w:rsidR="002E3266">
        <w:rPr>
          <w:rFonts w:ascii="Calibri" w:hAnsi="Calibri" w:cs="Calibri"/>
          <w:b/>
          <w:bCs/>
        </w:rPr>
        <w:t>ions transport et/ou logistique</w:t>
      </w:r>
    </w:p>
    <w:p w:rsidR="002B1371" w:rsidRPr="002436B1" w:rsidRDefault="00AD6615" w:rsidP="003C7E9D">
      <w:pPr>
        <w:jc w:val="center"/>
        <w:rPr>
          <w:rFonts w:ascii="Calibri" w:hAnsi="Calibri" w:cs="Calibri"/>
        </w:rPr>
      </w:pPr>
      <w:r>
        <w:rPr>
          <w:rFonts w:ascii="Calibri" w:hAnsi="Calibri" w:cs="Calibri"/>
          <w:noProof/>
        </w:rPr>
        <w:drawing>
          <wp:inline distT="0" distB="0" distL="0" distR="0" wp14:anchorId="65A2C5F0" wp14:editId="30907117">
            <wp:extent cx="8884920" cy="1501140"/>
            <wp:effectExtent l="0" t="0" r="11430" b="22860"/>
            <wp:docPr id="21" name="Obje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1DAB" w:rsidRDefault="00DB1DAB" w:rsidP="002B1371">
      <w:pPr>
        <w:jc w:val="both"/>
        <w:rPr>
          <w:rFonts w:ascii="Calibri" w:hAnsi="Calibri" w:cs="Calibri"/>
        </w:rPr>
      </w:pPr>
    </w:p>
    <w:p w:rsidR="002B1371" w:rsidRPr="002436B1" w:rsidRDefault="00B50001" w:rsidP="002B1371">
      <w:pPr>
        <w:jc w:val="both"/>
        <w:rPr>
          <w:rFonts w:ascii="Calibri" w:hAnsi="Calibri" w:cs="Calibri"/>
        </w:rPr>
      </w:pPr>
      <w:r>
        <w:rPr>
          <w:rFonts w:ascii="Calibri" w:hAnsi="Calibri" w:cs="Calibri"/>
        </w:rPr>
        <w:t xml:space="preserve">Neuf établissements sur dix </w:t>
      </w:r>
      <w:r w:rsidR="00664E6F">
        <w:rPr>
          <w:rFonts w:ascii="Calibri" w:hAnsi="Calibri" w:cs="Calibri"/>
        </w:rPr>
        <w:t xml:space="preserve">d’au moins 100 salariés </w:t>
      </w:r>
      <w:r>
        <w:rPr>
          <w:rFonts w:ascii="Calibri" w:hAnsi="Calibri" w:cs="Calibri"/>
        </w:rPr>
        <w:t xml:space="preserve">continuent de </w:t>
      </w:r>
      <w:r w:rsidR="00547351">
        <w:rPr>
          <w:rFonts w:ascii="Calibri" w:hAnsi="Calibri" w:cs="Calibri"/>
        </w:rPr>
        <w:t>sous-traiter</w:t>
      </w:r>
      <w:r w:rsidR="002B1371" w:rsidRPr="002436B1">
        <w:rPr>
          <w:rFonts w:ascii="Calibri" w:hAnsi="Calibri" w:cs="Calibri"/>
        </w:rPr>
        <w:t xml:space="preserve"> des opérations de</w:t>
      </w:r>
      <w:r w:rsidR="00017E73">
        <w:rPr>
          <w:rFonts w:ascii="Calibri" w:hAnsi="Calibri" w:cs="Calibri"/>
        </w:rPr>
        <w:t xml:space="preserve"> transport et/ou de logistique, </w:t>
      </w:r>
      <w:r w:rsidR="002B1371" w:rsidRPr="002436B1">
        <w:rPr>
          <w:rFonts w:ascii="Calibri" w:hAnsi="Calibri" w:cs="Calibri"/>
        </w:rPr>
        <w:t>pour tout ou partie</w:t>
      </w:r>
      <w:r w:rsidR="00547351">
        <w:rPr>
          <w:rFonts w:ascii="Calibri" w:hAnsi="Calibri" w:cs="Calibri"/>
        </w:rPr>
        <w:t xml:space="preserve">, </w:t>
      </w:r>
      <w:r w:rsidR="00017E73">
        <w:rPr>
          <w:rFonts w:ascii="Calibri" w:hAnsi="Calibri" w:cs="Calibri"/>
        </w:rPr>
        <w:t>en 2014</w:t>
      </w:r>
      <w:r w:rsidR="002B1371" w:rsidRPr="002436B1">
        <w:rPr>
          <w:rFonts w:ascii="Calibri" w:hAnsi="Calibri" w:cs="Calibri"/>
        </w:rPr>
        <w:t xml:space="preserve">. </w:t>
      </w:r>
    </w:p>
    <w:p w:rsidR="002B1371" w:rsidRPr="002436B1" w:rsidRDefault="002B1371" w:rsidP="002B1371">
      <w:pPr>
        <w:jc w:val="both"/>
        <w:rPr>
          <w:rFonts w:ascii="Calibri" w:hAnsi="Calibri" w:cs="Calibri"/>
        </w:rPr>
      </w:pPr>
    </w:p>
    <w:p w:rsidR="002B1371" w:rsidRPr="00D045A6" w:rsidRDefault="00664E6F" w:rsidP="002B1371">
      <w:pPr>
        <w:rPr>
          <w:rFonts w:ascii="Arial Black" w:hAnsi="Arial Black" w:cs="Calibri"/>
          <w:b/>
          <w:bCs/>
          <w:color w:val="632423"/>
        </w:rPr>
      </w:pPr>
      <w:r>
        <w:rPr>
          <w:rFonts w:ascii="Arial Black" w:hAnsi="Arial Black" w:cs="Calibri"/>
          <w:b/>
          <w:bCs/>
          <w:color w:val="632423"/>
        </w:rPr>
        <w:t>Léger refl</w:t>
      </w:r>
      <w:r w:rsidR="008063BB">
        <w:rPr>
          <w:rFonts w:ascii="Arial Black" w:hAnsi="Arial Black" w:cs="Calibri"/>
          <w:b/>
          <w:bCs/>
          <w:color w:val="632423"/>
        </w:rPr>
        <w:t>u</w:t>
      </w:r>
      <w:r>
        <w:rPr>
          <w:rFonts w:ascii="Arial Black" w:hAnsi="Arial Black" w:cs="Calibri"/>
          <w:b/>
          <w:bCs/>
          <w:color w:val="632423"/>
        </w:rPr>
        <w:t xml:space="preserve">x de la sous-traitance </w:t>
      </w:r>
      <w:r w:rsidR="00A723AC">
        <w:rPr>
          <w:rFonts w:ascii="Arial Black" w:hAnsi="Arial Black" w:cs="Calibri"/>
          <w:b/>
          <w:bCs/>
          <w:color w:val="632423"/>
        </w:rPr>
        <w:t xml:space="preserve">des </w:t>
      </w:r>
      <w:r>
        <w:rPr>
          <w:rFonts w:ascii="Arial Black" w:hAnsi="Arial Black" w:cs="Calibri"/>
          <w:b/>
          <w:bCs/>
          <w:color w:val="632423"/>
        </w:rPr>
        <w:t>étab</w:t>
      </w:r>
      <w:r w:rsidR="00A723AC">
        <w:rPr>
          <w:rFonts w:ascii="Arial Black" w:hAnsi="Arial Black" w:cs="Calibri"/>
          <w:b/>
          <w:bCs/>
          <w:color w:val="632423"/>
        </w:rPr>
        <w:t>lissements de moins de 100 salariés</w:t>
      </w:r>
    </w:p>
    <w:p w:rsidR="002B1371" w:rsidRPr="002436B1" w:rsidRDefault="002B1371" w:rsidP="002B1371">
      <w:pPr>
        <w:jc w:val="center"/>
        <w:rPr>
          <w:rFonts w:ascii="Calibri" w:hAnsi="Calibri" w:cs="Calibri"/>
          <w:b/>
          <w:bCs/>
        </w:rPr>
      </w:pPr>
      <w:r w:rsidRPr="002436B1">
        <w:rPr>
          <w:rFonts w:ascii="Calibri" w:hAnsi="Calibri" w:cs="Calibri"/>
          <w:b/>
          <w:bCs/>
        </w:rPr>
        <w:t xml:space="preserve">Pourcentage d'établissements ayant recours </w:t>
      </w:r>
    </w:p>
    <w:p w:rsidR="002B1371" w:rsidRDefault="002B1371" w:rsidP="002B1371">
      <w:pPr>
        <w:jc w:val="center"/>
        <w:rPr>
          <w:rFonts w:ascii="Calibri" w:hAnsi="Calibri" w:cs="Calibri"/>
          <w:b/>
          <w:bCs/>
        </w:rPr>
      </w:pPr>
      <w:r w:rsidRPr="002436B1">
        <w:rPr>
          <w:rFonts w:ascii="Calibri" w:hAnsi="Calibri" w:cs="Calibri"/>
          <w:b/>
          <w:bCs/>
        </w:rPr>
        <w:t>à la sous-traitance du transport</w:t>
      </w:r>
    </w:p>
    <w:p w:rsidR="00A56B21" w:rsidRDefault="00A56B21" w:rsidP="002B1371">
      <w:pPr>
        <w:jc w:val="center"/>
        <w:rPr>
          <w:rFonts w:ascii="Calibri" w:hAnsi="Calibri" w:cs="Calibri"/>
          <w:b/>
          <w:bCs/>
        </w:rPr>
      </w:pPr>
    </w:p>
    <w:p w:rsidR="005817EA" w:rsidRPr="00214DED" w:rsidRDefault="005817EA" w:rsidP="005817EA">
      <w:pPr>
        <w:rPr>
          <w:rFonts w:ascii="Calibri" w:hAnsi="Calibri" w:cs="Calibri"/>
          <w:i/>
          <w:iCs/>
        </w:rPr>
      </w:pPr>
      <w:r>
        <w:rPr>
          <w:rFonts w:ascii="Calibri" w:hAnsi="Calibri" w:cs="Calibri"/>
          <w:i/>
          <w:iCs/>
        </w:rPr>
        <w:t xml:space="preserve">                                  </w:t>
      </w:r>
      <w:r w:rsidRPr="00214DED">
        <w:rPr>
          <w:rFonts w:ascii="Calibri" w:hAnsi="Calibri" w:cs="Calibri"/>
          <w:i/>
          <w:iCs/>
        </w:rPr>
        <w:t>Etablissements de 100 salariés et plus</w:t>
      </w:r>
      <w:r w:rsidRPr="00214DED">
        <w:rPr>
          <w:rFonts w:ascii="Calibri" w:hAnsi="Calibri" w:cs="Calibri"/>
          <w:i/>
          <w:iCs/>
        </w:rPr>
        <w:tab/>
        <w:t xml:space="preserve">                                                                            Etablissements de 50 à 99 salariés</w:t>
      </w:r>
    </w:p>
    <w:p w:rsidR="002B1371" w:rsidRPr="002436B1" w:rsidRDefault="002B1371" w:rsidP="002B1371">
      <w:pPr>
        <w:jc w:val="center"/>
        <w:rPr>
          <w:rFonts w:ascii="Calibri" w:hAnsi="Calibri" w:cs="Calibri"/>
          <w:b/>
          <w:bCs/>
        </w:rPr>
      </w:pPr>
    </w:p>
    <w:p w:rsidR="002B1371" w:rsidRPr="002436B1" w:rsidRDefault="00AD6615" w:rsidP="002B1371">
      <w:pPr>
        <w:rPr>
          <w:rFonts w:ascii="Calibri" w:hAnsi="Calibri" w:cs="Calibri"/>
        </w:rPr>
      </w:pPr>
      <w:r>
        <w:rPr>
          <w:rFonts w:ascii="Calibri" w:hAnsi="Calibri" w:cs="Calibri"/>
          <w:noProof/>
        </w:rPr>
        <w:drawing>
          <wp:inline distT="0" distB="0" distL="0" distR="0" wp14:anchorId="304F4BDC" wp14:editId="6D1DFBDA">
            <wp:extent cx="9376914" cy="1199072"/>
            <wp:effectExtent l="0" t="0" r="15240" b="20320"/>
            <wp:docPr id="24" name="Obje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4695" w:rsidRPr="00D045A6" w:rsidRDefault="00924695" w:rsidP="002B1371">
      <w:pPr>
        <w:jc w:val="both"/>
        <w:rPr>
          <w:rFonts w:ascii="Calibri" w:hAnsi="Calibri" w:cs="Calibri"/>
          <w:sz w:val="16"/>
          <w:szCs w:val="16"/>
        </w:rPr>
      </w:pPr>
    </w:p>
    <w:p w:rsidR="002B1371" w:rsidRPr="00186C98" w:rsidRDefault="002B1371" w:rsidP="002B1371">
      <w:pPr>
        <w:rPr>
          <w:rFonts w:ascii="Calibri" w:hAnsi="Calibri" w:cs="Calibri"/>
          <w:sz w:val="16"/>
          <w:szCs w:val="16"/>
        </w:rPr>
      </w:pPr>
    </w:p>
    <w:p w:rsidR="002B1371" w:rsidRPr="002436B1" w:rsidRDefault="002B1371" w:rsidP="002B1371">
      <w:pPr>
        <w:jc w:val="center"/>
        <w:rPr>
          <w:rFonts w:ascii="Calibri" w:hAnsi="Calibri" w:cs="Calibri"/>
          <w:b/>
          <w:bCs/>
        </w:rPr>
      </w:pPr>
      <w:r w:rsidRPr="002436B1">
        <w:rPr>
          <w:rFonts w:ascii="Calibri" w:hAnsi="Calibri" w:cs="Calibri"/>
          <w:b/>
          <w:bCs/>
        </w:rPr>
        <w:t xml:space="preserve">Pourcentage d'établissements industriels et commerciaux ayant recours </w:t>
      </w:r>
    </w:p>
    <w:p w:rsidR="002B1371" w:rsidRDefault="002B1371" w:rsidP="002B1371">
      <w:pPr>
        <w:jc w:val="center"/>
        <w:rPr>
          <w:rFonts w:ascii="Calibri" w:hAnsi="Calibri" w:cs="Calibri"/>
          <w:b/>
          <w:bCs/>
        </w:rPr>
      </w:pPr>
      <w:r w:rsidRPr="002436B1">
        <w:rPr>
          <w:rFonts w:ascii="Calibri" w:hAnsi="Calibri" w:cs="Calibri"/>
          <w:b/>
          <w:bCs/>
        </w:rPr>
        <w:t>à la sous-traitance de l'entreposage et du stockage</w:t>
      </w:r>
    </w:p>
    <w:p w:rsidR="00AE7DFF" w:rsidRPr="00AE7DFF" w:rsidRDefault="00AE7DFF" w:rsidP="002B1371">
      <w:pPr>
        <w:jc w:val="center"/>
        <w:rPr>
          <w:rFonts w:ascii="Calibri" w:hAnsi="Calibri" w:cs="Calibri"/>
          <w:b/>
          <w:bCs/>
          <w:sz w:val="16"/>
          <w:szCs w:val="16"/>
        </w:rPr>
      </w:pPr>
    </w:p>
    <w:p w:rsidR="002B316E" w:rsidRPr="00214DED" w:rsidRDefault="002B316E" w:rsidP="002B316E">
      <w:pPr>
        <w:rPr>
          <w:rFonts w:ascii="Calibri" w:hAnsi="Calibri" w:cs="Calibri"/>
          <w:i/>
          <w:iCs/>
        </w:rPr>
      </w:pPr>
      <w:r>
        <w:rPr>
          <w:rFonts w:ascii="Calibri" w:hAnsi="Calibri" w:cs="Calibri"/>
          <w:i/>
          <w:iCs/>
        </w:rPr>
        <w:t xml:space="preserve">                                  </w:t>
      </w:r>
      <w:r w:rsidRPr="00214DED">
        <w:rPr>
          <w:rFonts w:ascii="Calibri" w:hAnsi="Calibri" w:cs="Calibri"/>
          <w:i/>
          <w:iCs/>
        </w:rPr>
        <w:t>Etablissements de 100 salariés et plus</w:t>
      </w:r>
      <w:r w:rsidRPr="00214DED">
        <w:rPr>
          <w:rFonts w:ascii="Calibri" w:hAnsi="Calibri" w:cs="Calibri"/>
          <w:i/>
          <w:iCs/>
        </w:rPr>
        <w:tab/>
        <w:t xml:space="preserve">                                                                            Etablissements de 50 à 99 salariés</w:t>
      </w:r>
    </w:p>
    <w:p w:rsidR="002B316E" w:rsidRPr="002436B1" w:rsidRDefault="002B316E" w:rsidP="002B1371">
      <w:pPr>
        <w:jc w:val="center"/>
        <w:rPr>
          <w:rFonts w:ascii="Calibri" w:hAnsi="Calibri" w:cs="Calibri"/>
          <w:b/>
          <w:bCs/>
        </w:rPr>
      </w:pPr>
    </w:p>
    <w:p w:rsidR="002B1371" w:rsidRPr="002436B1" w:rsidRDefault="00AD6615" w:rsidP="002B1371">
      <w:pPr>
        <w:rPr>
          <w:rFonts w:ascii="Calibri" w:hAnsi="Calibri" w:cs="Calibri"/>
        </w:rPr>
      </w:pPr>
      <w:r>
        <w:rPr>
          <w:rFonts w:ascii="Calibri" w:hAnsi="Calibri" w:cs="Calibri"/>
          <w:noProof/>
        </w:rPr>
        <w:drawing>
          <wp:inline distT="0" distB="0" distL="0" distR="0" wp14:anchorId="3253DE98" wp14:editId="568F458F">
            <wp:extent cx="9307902" cy="1302589"/>
            <wp:effectExtent l="0" t="0" r="26670" b="12065"/>
            <wp:docPr id="25" name="Obje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1371" w:rsidRPr="00186C98" w:rsidRDefault="002B1371" w:rsidP="002B1371">
      <w:pPr>
        <w:jc w:val="both"/>
        <w:rPr>
          <w:rFonts w:ascii="Calibri" w:hAnsi="Calibri" w:cs="Calibri"/>
          <w:sz w:val="16"/>
          <w:szCs w:val="16"/>
        </w:rPr>
      </w:pPr>
    </w:p>
    <w:p w:rsidR="008149A7" w:rsidRDefault="008149A7" w:rsidP="008149A7">
      <w:pPr>
        <w:jc w:val="both"/>
        <w:rPr>
          <w:rFonts w:ascii="Calibri" w:hAnsi="Calibri" w:cs="Calibri"/>
        </w:rPr>
      </w:pPr>
      <w:r>
        <w:rPr>
          <w:rFonts w:ascii="Calibri" w:hAnsi="Calibri" w:cs="Calibri"/>
        </w:rPr>
        <w:t xml:space="preserve">87% des établissements de 100 salariés et plus ont eu recours à la sous-traitance du transport en 2014, après 89% en 2013. La proportion d’établissements de cette tranche de taille sous-traitant l’entreposage et le stockage reste stable, à 30%. </w:t>
      </w:r>
    </w:p>
    <w:p w:rsidR="008149A7" w:rsidRDefault="008149A7" w:rsidP="002B1371">
      <w:pPr>
        <w:jc w:val="both"/>
        <w:rPr>
          <w:rFonts w:ascii="Calibri" w:hAnsi="Calibri" w:cs="Calibri"/>
        </w:rPr>
      </w:pPr>
    </w:p>
    <w:p w:rsidR="002B1371" w:rsidRDefault="008149A7" w:rsidP="002B1371">
      <w:pPr>
        <w:jc w:val="both"/>
        <w:rPr>
          <w:rFonts w:ascii="Calibri" w:hAnsi="Calibri" w:cs="Calibri"/>
        </w:rPr>
      </w:pPr>
      <w:r>
        <w:rPr>
          <w:rFonts w:ascii="Calibri" w:hAnsi="Calibri" w:cs="Calibri"/>
        </w:rPr>
        <w:t xml:space="preserve">En revanche, </w:t>
      </w:r>
      <w:r w:rsidR="00664E6F">
        <w:rPr>
          <w:rFonts w:ascii="Calibri" w:hAnsi="Calibri" w:cs="Calibri"/>
        </w:rPr>
        <w:t xml:space="preserve">82% des établissements de 50 à 99 salariés ont sous-traité en 2014 des opérations de transport et distribution, soit 6 points de moins qu’en 2013. Simultanément, la proportion d’établissements de cette classe de taille sous-traitant l’entreposage et le stockage a baissé de 4 points. </w:t>
      </w:r>
    </w:p>
    <w:p w:rsidR="008063BB" w:rsidRDefault="008063BB" w:rsidP="002B1371">
      <w:pPr>
        <w:jc w:val="both"/>
        <w:rPr>
          <w:rFonts w:ascii="Calibri" w:hAnsi="Calibri" w:cs="Calibri"/>
        </w:rPr>
      </w:pPr>
    </w:p>
    <w:p w:rsidR="00664E6F" w:rsidRDefault="00664E6F" w:rsidP="002B1371">
      <w:pPr>
        <w:rPr>
          <w:rFonts w:ascii="Arial Black" w:hAnsi="Arial Black" w:cs="Calibri"/>
          <w:b/>
          <w:bCs/>
          <w:color w:val="632423"/>
        </w:rPr>
      </w:pPr>
    </w:p>
    <w:p w:rsidR="002B1371" w:rsidRPr="00CA7074" w:rsidRDefault="00CA7074" w:rsidP="002B1371">
      <w:pPr>
        <w:rPr>
          <w:rFonts w:ascii="Arial Black" w:hAnsi="Arial Black" w:cs="Calibri"/>
          <w:b/>
          <w:bCs/>
          <w:color w:val="632423"/>
        </w:rPr>
      </w:pPr>
      <w:r>
        <w:rPr>
          <w:rFonts w:ascii="Arial Black" w:hAnsi="Arial Black" w:cs="Calibri"/>
          <w:b/>
          <w:bCs/>
          <w:color w:val="632423"/>
        </w:rPr>
        <w:t>Volumes à la hausse, tarifs à la baisse</w:t>
      </w:r>
      <w:r w:rsidR="0099028D">
        <w:rPr>
          <w:rFonts w:ascii="Arial Black" w:hAnsi="Arial Black" w:cs="Calibri"/>
          <w:b/>
          <w:bCs/>
          <w:color w:val="632423"/>
        </w:rPr>
        <w:t xml:space="preserve"> en 2014</w:t>
      </w:r>
    </w:p>
    <w:p w:rsidR="00CA7074" w:rsidRDefault="00CA7074" w:rsidP="002B1371">
      <w:pPr>
        <w:jc w:val="center"/>
        <w:rPr>
          <w:rFonts w:ascii="Calibri" w:hAnsi="Calibri" w:cs="Calibri"/>
          <w:b/>
          <w:bCs/>
        </w:rPr>
      </w:pPr>
    </w:p>
    <w:p w:rsidR="002B1371" w:rsidRPr="00CA7074" w:rsidRDefault="002B1371" w:rsidP="002B1371">
      <w:pPr>
        <w:jc w:val="center"/>
        <w:rPr>
          <w:rFonts w:ascii="Calibri" w:hAnsi="Calibri" w:cs="Calibri"/>
          <w:b/>
          <w:bCs/>
        </w:rPr>
      </w:pPr>
      <w:r w:rsidRPr="00CA7074">
        <w:rPr>
          <w:rFonts w:ascii="Calibri" w:hAnsi="Calibri" w:cs="Calibri"/>
          <w:b/>
          <w:bCs/>
        </w:rPr>
        <w:t>Evolution des volumes confiés et des tarifs des prestations en 201</w:t>
      </w:r>
      <w:r w:rsidR="00CA7074">
        <w:rPr>
          <w:rFonts w:ascii="Calibri" w:hAnsi="Calibri" w:cs="Calibri"/>
          <w:b/>
          <w:bCs/>
        </w:rPr>
        <w:t>4</w:t>
      </w:r>
    </w:p>
    <w:p w:rsidR="002B1371" w:rsidRPr="00CA7074" w:rsidRDefault="002B1371" w:rsidP="002B1371">
      <w:pPr>
        <w:rPr>
          <w:rFonts w:ascii="Calibri" w:hAnsi="Calibri" w:cs="Calibri"/>
          <w:sz w:val="16"/>
          <w:szCs w:val="16"/>
        </w:rPr>
      </w:pPr>
    </w:p>
    <w:tbl>
      <w:tblPr>
        <w:tblStyle w:val="Listemoyenne1-Accent4"/>
        <w:tblW w:w="5000" w:type="pct"/>
        <w:tblBorders>
          <w:insideH w:val="single" w:sz="8" w:space="0" w:color="8064A2" w:themeColor="accent4"/>
          <w:insideV w:val="single" w:sz="8" w:space="0" w:color="8064A2" w:themeColor="accent4"/>
        </w:tblBorders>
        <w:shd w:val="clear" w:color="auto" w:fill="FFFFFF" w:themeFill="background1"/>
        <w:tblLook w:val="02A0" w:firstRow="1" w:lastRow="0" w:firstColumn="1" w:lastColumn="0" w:noHBand="1" w:noVBand="0"/>
      </w:tblPr>
      <w:tblGrid>
        <w:gridCol w:w="2046"/>
        <w:gridCol w:w="1694"/>
        <w:gridCol w:w="1416"/>
        <w:gridCol w:w="1474"/>
        <w:gridCol w:w="1643"/>
        <w:gridCol w:w="1811"/>
        <w:gridCol w:w="1549"/>
        <w:gridCol w:w="1555"/>
        <w:gridCol w:w="1881"/>
      </w:tblGrid>
      <w:tr w:rsidR="00DB1DAB" w:rsidRPr="00CA7074" w:rsidTr="00DB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right w:val="nil"/>
            </w:tcBorders>
            <w:shd w:val="clear" w:color="auto" w:fill="DFD8E8"/>
          </w:tcPr>
          <w:p w:rsidR="002B1371" w:rsidRPr="00CA7074" w:rsidRDefault="002B1371" w:rsidP="00F3284E">
            <w:pPr>
              <w:rPr>
                <w:rFonts w:asciiTheme="minorHAnsi" w:hAnsiTheme="minorHAnsi"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2066" w:type="pct"/>
            <w:gridSpan w:val="4"/>
            <w:tcBorders>
              <w:left w:val="nil"/>
            </w:tcBorders>
            <w:shd w:val="clear" w:color="auto" w:fill="DFD8E8"/>
          </w:tcPr>
          <w:p w:rsidR="002B1371" w:rsidRPr="00CA7074" w:rsidRDefault="002B1371" w:rsidP="002B316E">
            <w:pPr>
              <w:jc w:val="center"/>
              <w:rPr>
                <w:rFonts w:asciiTheme="minorHAnsi" w:hAnsiTheme="minorHAnsi" w:cstheme="minorHAnsi"/>
                <w:b/>
                <w:bCs/>
                <w:sz w:val="20"/>
                <w:szCs w:val="20"/>
              </w:rPr>
            </w:pPr>
            <w:r w:rsidRPr="00CA7074">
              <w:rPr>
                <w:rFonts w:asciiTheme="minorHAnsi" w:hAnsiTheme="minorHAnsi" w:cstheme="minorHAnsi"/>
                <w:b/>
                <w:bCs/>
                <w:sz w:val="20"/>
                <w:szCs w:val="20"/>
              </w:rPr>
              <w:t>en % d’établissements sous-traitant</w:t>
            </w:r>
            <w:r w:rsidR="002B316E" w:rsidRPr="00CA7074">
              <w:rPr>
                <w:rFonts w:asciiTheme="minorHAnsi" w:hAnsiTheme="minorHAnsi" w:cstheme="minorHAnsi"/>
                <w:b/>
                <w:bCs/>
                <w:sz w:val="20"/>
                <w:szCs w:val="20"/>
              </w:rPr>
              <w:t xml:space="preserve"> </w:t>
            </w:r>
            <w:r w:rsidRPr="00CA7074">
              <w:rPr>
                <w:rFonts w:asciiTheme="minorHAnsi" w:hAnsiTheme="minorHAnsi" w:cstheme="minorHAnsi"/>
                <w:b/>
                <w:bCs/>
                <w:sz w:val="20"/>
                <w:szCs w:val="20"/>
              </w:rPr>
              <w:t>le transport et la distribution</w:t>
            </w:r>
          </w:p>
        </w:tc>
        <w:tc>
          <w:tcPr>
            <w:tcW w:w="2255" w:type="pct"/>
            <w:gridSpan w:val="4"/>
            <w:shd w:val="clear" w:color="auto" w:fill="DFD8E8"/>
          </w:tcPr>
          <w:p w:rsidR="002B1371" w:rsidRPr="00CA7074" w:rsidRDefault="002B1371" w:rsidP="002B3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CA7074">
              <w:rPr>
                <w:rFonts w:asciiTheme="minorHAnsi" w:hAnsiTheme="minorHAnsi" w:cstheme="minorHAnsi"/>
                <w:b/>
                <w:bCs/>
                <w:sz w:val="20"/>
                <w:szCs w:val="20"/>
              </w:rPr>
              <w:t>en % d’établissements sous-traitant</w:t>
            </w:r>
            <w:r w:rsidR="002B316E" w:rsidRPr="00CA7074">
              <w:rPr>
                <w:rFonts w:asciiTheme="minorHAnsi" w:hAnsiTheme="minorHAnsi" w:cstheme="minorHAnsi"/>
                <w:b/>
                <w:bCs/>
                <w:sz w:val="20"/>
                <w:szCs w:val="20"/>
              </w:rPr>
              <w:t xml:space="preserve"> </w:t>
            </w:r>
            <w:r w:rsidRPr="00CA7074">
              <w:rPr>
                <w:rFonts w:asciiTheme="minorHAnsi" w:hAnsiTheme="minorHAnsi" w:cstheme="minorHAnsi"/>
                <w:b/>
                <w:bCs/>
                <w:sz w:val="20"/>
                <w:szCs w:val="20"/>
              </w:rPr>
              <w:t>les autres opérations logistiques</w:t>
            </w:r>
          </w:p>
        </w:tc>
      </w:tr>
      <w:tr w:rsidR="00DB1DAB" w:rsidRPr="00CA7074" w:rsidTr="00DB1DAB">
        <w:tc>
          <w:tcPr>
            <w:cnfStyle w:val="001000000000" w:firstRow="0" w:lastRow="0" w:firstColumn="1" w:lastColumn="0" w:oddVBand="0" w:evenVBand="0" w:oddHBand="0" w:evenHBand="0" w:firstRowFirstColumn="0" w:firstRowLastColumn="0" w:lastRowFirstColumn="0" w:lastRowLastColumn="0"/>
            <w:tcW w:w="679" w:type="pct"/>
            <w:shd w:val="clear" w:color="auto" w:fill="FFFFFF" w:themeFill="background1"/>
          </w:tcPr>
          <w:p w:rsidR="002B1371" w:rsidRPr="00CA7074" w:rsidRDefault="002B1371" w:rsidP="00F3284E">
            <w:pPr>
              <w:rPr>
                <w:rFonts w:asciiTheme="minorHAnsi" w:hAnsiTheme="minorHAnsi" w:cstheme="minorHAnsi"/>
                <w:b w:val="0"/>
                <w:bCs w:val="0"/>
                <w:sz w:val="20"/>
                <w:szCs w:val="20"/>
              </w:rPr>
            </w:pPr>
            <w:r w:rsidRPr="00CA7074">
              <w:rPr>
                <w:rFonts w:asciiTheme="minorHAnsi" w:hAnsiTheme="minorHAnsi" w:cstheme="minorHAnsi"/>
                <w:b w:val="0"/>
                <w:bCs w:val="0"/>
                <w:sz w:val="20"/>
                <w:szCs w:val="20"/>
              </w:rPr>
              <w:t>Volumes confiés</w:t>
            </w:r>
          </w:p>
        </w:tc>
        <w:tc>
          <w:tcPr>
            <w:cnfStyle w:val="000010000000" w:firstRow="0" w:lastRow="0" w:firstColumn="0" w:lastColumn="0" w:oddVBand="1" w:evenVBand="0" w:oddHBand="0" w:evenHBand="0" w:firstRowFirstColumn="0" w:firstRowLastColumn="0" w:lastRowFirstColumn="0" w:lastRowLastColumn="0"/>
            <w:tcW w:w="562" w:type="pct"/>
            <w:shd w:val="clear" w:color="auto" w:fill="FFFFFF" w:themeFill="background1"/>
          </w:tcPr>
          <w:p w:rsidR="002B1371" w:rsidRPr="00CA7074" w:rsidRDefault="002B1371" w:rsidP="00214DED">
            <w:pPr>
              <w:ind w:left="-38"/>
              <w:jc w:val="center"/>
              <w:rPr>
                <w:rFonts w:asciiTheme="minorHAnsi" w:hAnsiTheme="minorHAnsi" w:cstheme="minorHAnsi"/>
                <w:b/>
                <w:bCs/>
                <w:sz w:val="14"/>
                <w:szCs w:val="14"/>
              </w:rPr>
            </w:pPr>
            <w:r w:rsidRPr="00CA7074">
              <w:rPr>
                <w:rFonts w:asciiTheme="minorHAnsi" w:hAnsiTheme="minorHAnsi" w:cstheme="minorHAnsi"/>
                <w:b/>
                <w:bCs/>
                <w:sz w:val="14"/>
                <w:szCs w:val="14"/>
              </w:rPr>
              <w:t>Augmentation</w:t>
            </w:r>
          </w:p>
          <w:p w:rsidR="002B1371" w:rsidRPr="00CA7074" w:rsidRDefault="002B1371" w:rsidP="00214DED">
            <w:pPr>
              <w:jc w:val="center"/>
              <w:rPr>
                <w:rFonts w:asciiTheme="minorHAnsi" w:hAnsiTheme="minorHAnsi" w:cstheme="minorHAnsi"/>
                <w:b/>
                <w:bCs/>
                <w:sz w:val="14"/>
                <w:szCs w:val="14"/>
              </w:rPr>
            </w:pPr>
          </w:p>
          <w:p w:rsidR="002B1371" w:rsidRPr="00CA7074" w:rsidRDefault="007D200E" w:rsidP="00CA7074">
            <w:pPr>
              <w:jc w:val="center"/>
              <w:rPr>
                <w:rFonts w:asciiTheme="minorHAnsi" w:hAnsiTheme="minorHAnsi" w:cstheme="minorHAnsi"/>
                <w:b/>
                <w:bCs/>
              </w:rPr>
            </w:pPr>
            <w:r w:rsidRPr="00CA7074">
              <w:rPr>
                <w:rFonts w:asciiTheme="minorHAnsi" w:hAnsiTheme="minorHAnsi" w:cstheme="minorHAnsi"/>
                <w:b/>
                <w:bCs/>
              </w:rPr>
              <w:t>3</w:t>
            </w:r>
            <w:r w:rsidR="00CA7074" w:rsidRPr="00CA7074">
              <w:rPr>
                <w:rFonts w:asciiTheme="minorHAnsi" w:hAnsiTheme="minorHAnsi" w:cstheme="minorHAnsi"/>
                <w:b/>
                <w:bCs/>
              </w:rPr>
              <w:t>5</w:t>
            </w:r>
            <w:r w:rsidRPr="00CA7074">
              <w:rPr>
                <w:rFonts w:asciiTheme="minorHAnsi" w:hAnsiTheme="minorHAnsi" w:cstheme="minorHAnsi"/>
                <w:b/>
                <w:bCs/>
              </w:rPr>
              <w:t>%</w:t>
            </w:r>
          </w:p>
        </w:tc>
        <w:tc>
          <w:tcPr>
            <w:tcW w:w="470" w:type="pct"/>
            <w:shd w:val="clear" w:color="auto" w:fill="FFFFFF" w:themeFill="background1"/>
          </w:tcPr>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Diminution</w:t>
            </w:r>
          </w:p>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7D200E" w:rsidP="00CA70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2</w:t>
            </w:r>
            <w:r w:rsidR="00CA7074" w:rsidRPr="00CA7074">
              <w:rPr>
                <w:rFonts w:asciiTheme="minorHAnsi" w:hAnsiTheme="minorHAnsi" w:cstheme="minorHAnsi"/>
                <w:b/>
                <w:bCs/>
              </w:rPr>
              <w:t>1</w:t>
            </w:r>
            <w:r w:rsidRPr="00CA7074">
              <w:rPr>
                <w:rFonts w:asciiTheme="minorHAnsi" w:hAnsiTheme="minorHAnsi" w:cstheme="minorHAnsi"/>
                <w:b/>
                <w:bCs/>
              </w:rPr>
              <w:t>%</w:t>
            </w:r>
          </w:p>
        </w:tc>
        <w:tc>
          <w:tcPr>
            <w:cnfStyle w:val="000010000000" w:firstRow="0" w:lastRow="0" w:firstColumn="0" w:lastColumn="0" w:oddVBand="1" w:evenVBand="0" w:oddHBand="0" w:evenHBand="0" w:firstRowFirstColumn="0" w:firstRowLastColumn="0" w:lastRowFirstColumn="0" w:lastRowLastColumn="0"/>
            <w:tcW w:w="489" w:type="pct"/>
            <w:shd w:val="clear" w:color="auto" w:fill="FFFFFF" w:themeFill="background1"/>
          </w:tcPr>
          <w:p w:rsidR="002B1371" w:rsidRPr="00CA7074" w:rsidRDefault="002B1371" w:rsidP="00214DED">
            <w:pPr>
              <w:jc w:val="center"/>
              <w:rPr>
                <w:rFonts w:asciiTheme="minorHAnsi" w:hAnsiTheme="minorHAnsi" w:cstheme="minorHAnsi"/>
                <w:b/>
                <w:bCs/>
                <w:sz w:val="14"/>
                <w:szCs w:val="14"/>
              </w:rPr>
            </w:pPr>
            <w:r w:rsidRPr="00CA7074">
              <w:rPr>
                <w:rFonts w:asciiTheme="minorHAnsi" w:hAnsiTheme="minorHAnsi" w:cstheme="minorHAnsi"/>
                <w:b/>
                <w:bCs/>
                <w:sz w:val="14"/>
                <w:szCs w:val="14"/>
              </w:rPr>
              <w:t>Stable</w:t>
            </w:r>
          </w:p>
          <w:p w:rsidR="002B1371" w:rsidRPr="00CA7074" w:rsidRDefault="002B1371" w:rsidP="00214DED">
            <w:pPr>
              <w:jc w:val="center"/>
              <w:rPr>
                <w:rFonts w:asciiTheme="minorHAnsi" w:hAnsiTheme="minorHAnsi" w:cstheme="minorHAnsi"/>
                <w:b/>
                <w:bCs/>
                <w:sz w:val="14"/>
                <w:szCs w:val="14"/>
              </w:rPr>
            </w:pPr>
          </w:p>
          <w:p w:rsidR="002B1371" w:rsidRPr="00CA7074" w:rsidRDefault="007D200E" w:rsidP="00214DED">
            <w:pPr>
              <w:jc w:val="center"/>
              <w:rPr>
                <w:rFonts w:asciiTheme="minorHAnsi" w:hAnsiTheme="minorHAnsi" w:cstheme="minorHAnsi"/>
                <w:b/>
                <w:bCs/>
              </w:rPr>
            </w:pPr>
            <w:r w:rsidRPr="00CA7074">
              <w:rPr>
                <w:rFonts w:asciiTheme="minorHAnsi" w:hAnsiTheme="minorHAnsi" w:cstheme="minorHAnsi"/>
                <w:b/>
                <w:bCs/>
              </w:rPr>
              <w:t>43%</w:t>
            </w:r>
          </w:p>
        </w:tc>
        <w:tc>
          <w:tcPr>
            <w:tcW w:w="545" w:type="pct"/>
            <w:shd w:val="clear" w:color="auto" w:fill="FFFFFF" w:themeFill="background1"/>
          </w:tcPr>
          <w:p w:rsidR="002B1371" w:rsidRPr="00CA7074" w:rsidRDefault="002B1371" w:rsidP="00214DED">
            <w:pPr>
              <w:ind w:left="-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Ne se prononce pas</w:t>
            </w:r>
          </w:p>
          <w:p w:rsidR="00796F99" w:rsidRPr="00CA7074" w:rsidRDefault="00796F99" w:rsidP="00796F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E936A0"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2</w:t>
            </w:r>
            <w:r w:rsidR="007D200E" w:rsidRPr="00CA7074">
              <w:rPr>
                <w:rFonts w:asciiTheme="minorHAnsi" w:hAnsiTheme="minorHAnsi" w:cstheme="minorHAnsi"/>
                <w:b/>
                <w:bCs/>
              </w:rPr>
              <w:t>%</w:t>
            </w:r>
          </w:p>
        </w:tc>
        <w:tc>
          <w:tcPr>
            <w:cnfStyle w:val="000010000000" w:firstRow="0" w:lastRow="0" w:firstColumn="0" w:lastColumn="0" w:oddVBand="1" w:evenVBand="0" w:oddHBand="0" w:evenHBand="0" w:firstRowFirstColumn="0" w:firstRowLastColumn="0" w:lastRowFirstColumn="0" w:lastRowLastColumn="0"/>
            <w:tcW w:w="601" w:type="pct"/>
            <w:shd w:val="clear" w:color="auto" w:fill="FFFFFF" w:themeFill="background1"/>
          </w:tcPr>
          <w:p w:rsidR="002B1371" w:rsidRPr="00CA7074" w:rsidRDefault="002B1371" w:rsidP="00214DED">
            <w:pPr>
              <w:jc w:val="center"/>
              <w:rPr>
                <w:rFonts w:asciiTheme="minorHAnsi" w:hAnsiTheme="minorHAnsi" w:cstheme="minorHAnsi"/>
                <w:b/>
                <w:bCs/>
                <w:sz w:val="14"/>
                <w:szCs w:val="14"/>
              </w:rPr>
            </w:pPr>
            <w:r w:rsidRPr="00CA7074">
              <w:rPr>
                <w:rFonts w:asciiTheme="minorHAnsi" w:hAnsiTheme="minorHAnsi" w:cstheme="minorHAnsi"/>
                <w:b/>
                <w:bCs/>
                <w:sz w:val="14"/>
                <w:szCs w:val="14"/>
              </w:rPr>
              <w:t>Augmentation</w:t>
            </w:r>
          </w:p>
          <w:p w:rsidR="00796F99" w:rsidRPr="00CA7074" w:rsidRDefault="00796F99" w:rsidP="00796F99">
            <w:pPr>
              <w:jc w:val="center"/>
              <w:rPr>
                <w:rFonts w:asciiTheme="minorHAnsi" w:hAnsiTheme="minorHAnsi" w:cstheme="minorHAnsi"/>
                <w:b/>
                <w:bCs/>
                <w:sz w:val="14"/>
                <w:szCs w:val="14"/>
              </w:rPr>
            </w:pPr>
          </w:p>
          <w:p w:rsidR="002B1371" w:rsidRPr="00CA7074" w:rsidRDefault="00CA7074" w:rsidP="007D200E">
            <w:pPr>
              <w:jc w:val="center"/>
              <w:rPr>
                <w:rFonts w:asciiTheme="minorHAnsi" w:hAnsiTheme="minorHAnsi" w:cstheme="minorHAnsi"/>
                <w:b/>
                <w:bCs/>
              </w:rPr>
            </w:pPr>
            <w:r w:rsidRPr="00CA7074">
              <w:rPr>
                <w:rFonts w:asciiTheme="minorHAnsi" w:hAnsiTheme="minorHAnsi" w:cstheme="minorHAnsi"/>
                <w:b/>
                <w:bCs/>
              </w:rPr>
              <w:t>37</w:t>
            </w:r>
            <w:r w:rsidR="007D200E" w:rsidRPr="00CA7074">
              <w:rPr>
                <w:rFonts w:asciiTheme="minorHAnsi" w:hAnsiTheme="minorHAnsi" w:cstheme="minorHAnsi"/>
                <w:b/>
                <w:bCs/>
              </w:rPr>
              <w:t>%</w:t>
            </w:r>
          </w:p>
        </w:tc>
        <w:tc>
          <w:tcPr>
            <w:tcW w:w="514" w:type="pct"/>
            <w:shd w:val="clear" w:color="auto" w:fill="FFFFFF" w:themeFill="background1"/>
          </w:tcPr>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Diminution</w:t>
            </w:r>
          </w:p>
          <w:p w:rsidR="00796F99" w:rsidRPr="00CA7074" w:rsidRDefault="00796F99" w:rsidP="00796F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CA7074"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1</w:t>
            </w:r>
            <w:r w:rsidR="007D200E" w:rsidRPr="00CA7074">
              <w:rPr>
                <w:rFonts w:asciiTheme="minorHAnsi" w:hAnsiTheme="minorHAnsi" w:cstheme="minorHAnsi"/>
                <w:b/>
                <w:bCs/>
              </w:rPr>
              <w:t>7%</w:t>
            </w:r>
          </w:p>
        </w:tc>
        <w:tc>
          <w:tcPr>
            <w:cnfStyle w:val="000010000000" w:firstRow="0" w:lastRow="0" w:firstColumn="0" w:lastColumn="0" w:oddVBand="1" w:evenVBand="0" w:oddHBand="0" w:evenHBand="0" w:firstRowFirstColumn="0" w:firstRowLastColumn="0" w:lastRowFirstColumn="0" w:lastRowLastColumn="0"/>
            <w:tcW w:w="516" w:type="pct"/>
            <w:shd w:val="clear" w:color="auto" w:fill="FFFFFF" w:themeFill="background1"/>
          </w:tcPr>
          <w:p w:rsidR="002B1371" w:rsidRPr="00CA7074" w:rsidRDefault="002B1371" w:rsidP="00214DED">
            <w:pPr>
              <w:jc w:val="center"/>
              <w:rPr>
                <w:rFonts w:asciiTheme="minorHAnsi" w:hAnsiTheme="minorHAnsi" w:cstheme="minorHAnsi"/>
                <w:b/>
                <w:bCs/>
                <w:sz w:val="14"/>
                <w:szCs w:val="14"/>
              </w:rPr>
            </w:pPr>
            <w:r w:rsidRPr="00CA7074">
              <w:rPr>
                <w:rFonts w:asciiTheme="minorHAnsi" w:hAnsiTheme="minorHAnsi" w:cstheme="minorHAnsi"/>
                <w:b/>
                <w:bCs/>
                <w:sz w:val="14"/>
                <w:szCs w:val="14"/>
              </w:rPr>
              <w:t>Stable</w:t>
            </w:r>
          </w:p>
          <w:p w:rsidR="00796F99" w:rsidRPr="00CA7074" w:rsidRDefault="00796F99" w:rsidP="00796F99">
            <w:pPr>
              <w:jc w:val="center"/>
              <w:rPr>
                <w:rFonts w:asciiTheme="minorHAnsi" w:hAnsiTheme="minorHAnsi" w:cstheme="minorHAnsi"/>
                <w:b/>
                <w:bCs/>
                <w:sz w:val="14"/>
                <w:szCs w:val="14"/>
              </w:rPr>
            </w:pPr>
          </w:p>
          <w:p w:rsidR="002B1371" w:rsidRPr="00CA7074" w:rsidRDefault="00CA7074" w:rsidP="00CA7074">
            <w:pPr>
              <w:jc w:val="center"/>
              <w:rPr>
                <w:rFonts w:asciiTheme="minorHAnsi" w:hAnsiTheme="minorHAnsi" w:cstheme="minorHAnsi"/>
                <w:b/>
                <w:bCs/>
              </w:rPr>
            </w:pPr>
            <w:r w:rsidRPr="00CA7074">
              <w:rPr>
                <w:rFonts w:asciiTheme="minorHAnsi" w:hAnsiTheme="minorHAnsi" w:cstheme="minorHAnsi"/>
                <w:b/>
                <w:bCs/>
              </w:rPr>
              <w:t>42</w:t>
            </w:r>
            <w:r w:rsidR="002B1371" w:rsidRPr="00CA7074">
              <w:rPr>
                <w:rFonts w:asciiTheme="minorHAnsi" w:hAnsiTheme="minorHAnsi" w:cstheme="minorHAnsi"/>
                <w:b/>
                <w:bCs/>
              </w:rPr>
              <w:t>%</w:t>
            </w:r>
          </w:p>
        </w:tc>
        <w:tc>
          <w:tcPr>
            <w:tcW w:w="624" w:type="pct"/>
            <w:shd w:val="clear" w:color="auto" w:fill="FFFFFF" w:themeFill="background1"/>
          </w:tcPr>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Ne se prononce pas</w:t>
            </w:r>
          </w:p>
          <w:p w:rsidR="00796F99" w:rsidRPr="00CA7074" w:rsidRDefault="00796F99" w:rsidP="00796F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2B1371" w:rsidP="00796F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5%</w:t>
            </w:r>
          </w:p>
        </w:tc>
      </w:tr>
      <w:tr w:rsidR="00DB1DAB" w:rsidRPr="00AE7DFF" w:rsidTr="002B316E">
        <w:trPr>
          <w:trHeight w:val="537"/>
        </w:trPr>
        <w:tc>
          <w:tcPr>
            <w:cnfStyle w:val="001000000000" w:firstRow="0" w:lastRow="0" w:firstColumn="1" w:lastColumn="0" w:oddVBand="0" w:evenVBand="0" w:oddHBand="0" w:evenHBand="0" w:firstRowFirstColumn="0" w:firstRowLastColumn="0" w:lastRowFirstColumn="0" w:lastRowLastColumn="0"/>
            <w:tcW w:w="679" w:type="pct"/>
            <w:shd w:val="clear" w:color="auto" w:fill="FFFFFF" w:themeFill="background1"/>
          </w:tcPr>
          <w:p w:rsidR="002B1371" w:rsidRPr="00CA7074" w:rsidRDefault="002B1371" w:rsidP="00F3284E">
            <w:pPr>
              <w:rPr>
                <w:rFonts w:asciiTheme="minorHAnsi" w:hAnsiTheme="minorHAnsi" w:cstheme="minorHAnsi"/>
                <w:b w:val="0"/>
                <w:bCs w:val="0"/>
                <w:sz w:val="20"/>
                <w:szCs w:val="20"/>
              </w:rPr>
            </w:pPr>
            <w:r w:rsidRPr="00CA7074">
              <w:rPr>
                <w:rFonts w:asciiTheme="minorHAnsi" w:hAnsiTheme="minorHAnsi" w:cstheme="minorHAnsi"/>
                <w:b w:val="0"/>
                <w:bCs w:val="0"/>
                <w:sz w:val="20"/>
                <w:szCs w:val="20"/>
              </w:rPr>
              <w:t>Tarifs des prestations</w:t>
            </w:r>
          </w:p>
        </w:tc>
        <w:tc>
          <w:tcPr>
            <w:cnfStyle w:val="000010000000" w:firstRow="0" w:lastRow="0" w:firstColumn="0" w:lastColumn="0" w:oddVBand="1" w:evenVBand="0" w:oddHBand="0" w:evenHBand="0" w:firstRowFirstColumn="0" w:firstRowLastColumn="0" w:lastRowFirstColumn="0" w:lastRowLastColumn="0"/>
            <w:tcW w:w="562" w:type="pct"/>
            <w:shd w:val="clear" w:color="auto" w:fill="FFFFFF" w:themeFill="background1"/>
          </w:tcPr>
          <w:p w:rsidR="002B1371" w:rsidRPr="00CA7074" w:rsidRDefault="002B1371" w:rsidP="00214DED">
            <w:pPr>
              <w:ind w:left="-37"/>
              <w:jc w:val="center"/>
              <w:rPr>
                <w:rFonts w:asciiTheme="minorHAnsi" w:hAnsiTheme="minorHAnsi" w:cstheme="minorHAnsi"/>
                <w:b/>
                <w:bCs/>
                <w:sz w:val="14"/>
                <w:szCs w:val="14"/>
              </w:rPr>
            </w:pPr>
            <w:r w:rsidRPr="00CA7074">
              <w:rPr>
                <w:rFonts w:asciiTheme="minorHAnsi" w:hAnsiTheme="minorHAnsi" w:cstheme="minorHAnsi"/>
                <w:b/>
                <w:bCs/>
                <w:sz w:val="14"/>
                <w:szCs w:val="14"/>
              </w:rPr>
              <w:t>Augmentation</w:t>
            </w:r>
          </w:p>
          <w:p w:rsidR="002B1371" w:rsidRPr="00CA7074" w:rsidRDefault="002B1371" w:rsidP="00214DED">
            <w:pPr>
              <w:jc w:val="center"/>
              <w:rPr>
                <w:rFonts w:asciiTheme="minorHAnsi" w:hAnsiTheme="minorHAnsi" w:cstheme="minorHAnsi"/>
                <w:b/>
                <w:bCs/>
                <w:sz w:val="14"/>
                <w:szCs w:val="14"/>
              </w:rPr>
            </w:pPr>
          </w:p>
          <w:p w:rsidR="002B1371" w:rsidRPr="00CA7074" w:rsidRDefault="007D200E" w:rsidP="00CA7074">
            <w:pPr>
              <w:jc w:val="center"/>
              <w:rPr>
                <w:rFonts w:asciiTheme="minorHAnsi" w:hAnsiTheme="minorHAnsi" w:cstheme="minorHAnsi"/>
                <w:b/>
                <w:bCs/>
              </w:rPr>
            </w:pPr>
            <w:r w:rsidRPr="00CA7074">
              <w:rPr>
                <w:rFonts w:asciiTheme="minorHAnsi" w:hAnsiTheme="minorHAnsi" w:cstheme="minorHAnsi"/>
                <w:b/>
                <w:bCs/>
              </w:rPr>
              <w:t>1</w:t>
            </w:r>
            <w:r w:rsidR="00CA7074" w:rsidRPr="00CA7074">
              <w:rPr>
                <w:rFonts w:asciiTheme="minorHAnsi" w:hAnsiTheme="minorHAnsi" w:cstheme="minorHAnsi"/>
                <w:b/>
                <w:bCs/>
              </w:rPr>
              <w:t>9</w:t>
            </w:r>
            <w:r w:rsidR="002B1371" w:rsidRPr="00CA7074">
              <w:rPr>
                <w:rFonts w:asciiTheme="minorHAnsi" w:hAnsiTheme="minorHAnsi" w:cstheme="minorHAnsi"/>
                <w:b/>
                <w:bCs/>
              </w:rPr>
              <w:t>%</w:t>
            </w:r>
          </w:p>
        </w:tc>
        <w:tc>
          <w:tcPr>
            <w:tcW w:w="470" w:type="pct"/>
            <w:shd w:val="clear" w:color="auto" w:fill="FFFFFF" w:themeFill="background1"/>
          </w:tcPr>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Diminution</w:t>
            </w:r>
          </w:p>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7D200E" w:rsidP="00CA70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2</w:t>
            </w:r>
            <w:r w:rsidR="00CA7074" w:rsidRPr="00CA7074">
              <w:rPr>
                <w:rFonts w:asciiTheme="minorHAnsi" w:hAnsiTheme="minorHAnsi" w:cstheme="minorHAnsi"/>
                <w:b/>
                <w:bCs/>
              </w:rPr>
              <w:t>9</w:t>
            </w:r>
            <w:r w:rsidR="002B1371" w:rsidRPr="00CA7074">
              <w:rPr>
                <w:rFonts w:asciiTheme="minorHAnsi" w:hAnsiTheme="minorHAnsi" w:cstheme="minorHAnsi"/>
                <w:b/>
                <w:bCs/>
              </w:rPr>
              <w:t>%</w:t>
            </w:r>
          </w:p>
        </w:tc>
        <w:tc>
          <w:tcPr>
            <w:cnfStyle w:val="000010000000" w:firstRow="0" w:lastRow="0" w:firstColumn="0" w:lastColumn="0" w:oddVBand="1" w:evenVBand="0" w:oddHBand="0" w:evenHBand="0" w:firstRowFirstColumn="0" w:firstRowLastColumn="0" w:lastRowFirstColumn="0" w:lastRowLastColumn="0"/>
            <w:tcW w:w="489" w:type="pct"/>
            <w:shd w:val="clear" w:color="auto" w:fill="FFFFFF" w:themeFill="background1"/>
          </w:tcPr>
          <w:p w:rsidR="002B1371" w:rsidRPr="00CA7074" w:rsidRDefault="002B1371" w:rsidP="00214DED">
            <w:pPr>
              <w:jc w:val="center"/>
              <w:rPr>
                <w:rFonts w:asciiTheme="minorHAnsi" w:hAnsiTheme="minorHAnsi" w:cstheme="minorHAnsi"/>
                <w:b/>
                <w:bCs/>
                <w:sz w:val="14"/>
                <w:szCs w:val="14"/>
              </w:rPr>
            </w:pPr>
            <w:r w:rsidRPr="00CA7074">
              <w:rPr>
                <w:rFonts w:asciiTheme="minorHAnsi" w:hAnsiTheme="minorHAnsi" w:cstheme="minorHAnsi"/>
                <w:b/>
                <w:bCs/>
                <w:sz w:val="14"/>
                <w:szCs w:val="14"/>
              </w:rPr>
              <w:t>Stable</w:t>
            </w:r>
          </w:p>
          <w:p w:rsidR="002B1371" w:rsidRPr="00CA7074" w:rsidRDefault="002B1371" w:rsidP="00214DED">
            <w:pPr>
              <w:jc w:val="center"/>
              <w:rPr>
                <w:rFonts w:asciiTheme="minorHAnsi" w:hAnsiTheme="minorHAnsi" w:cstheme="minorHAnsi"/>
                <w:b/>
                <w:bCs/>
                <w:sz w:val="14"/>
                <w:szCs w:val="14"/>
              </w:rPr>
            </w:pPr>
          </w:p>
          <w:p w:rsidR="002B1371" w:rsidRPr="00CA7074" w:rsidRDefault="00CA7074" w:rsidP="007D200E">
            <w:pPr>
              <w:jc w:val="center"/>
              <w:rPr>
                <w:rFonts w:asciiTheme="minorHAnsi" w:hAnsiTheme="minorHAnsi" w:cstheme="minorHAnsi"/>
                <w:b/>
                <w:bCs/>
              </w:rPr>
            </w:pPr>
            <w:r w:rsidRPr="00CA7074">
              <w:rPr>
                <w:rFonts w:asciiTheme="minorHAnsi" w:hAnsiTheme="minorHAnsi" w:cstheme="minorHAnsi"/>
                <w:b/>
                <w:bCs/>
              </w:rPr>
              <w:t>48</w:t>
            </w:r>
            <w:r w:rsidR="002B1371" w:rsidRPr="00CA7074">
              <w:rPr>
                <w:rFonts w:asciiTheme="minorHAnsi" w:hAnsiTheme="minorHAnsi" w:cstheme="minorHAnsi"/>
                <w:b/>
                <w:bCs/>
              </w:rPr>
              <w:t>%</w:t>
            </w:r>
          </w:p>
        </w:tc>
        <w:tc>
          <w:tcPr>
            <w:tcW w:w="545" w:type="pct"/>
            <w:shd w:val="clear" w:color="auto" w:fill="FFFFFF" w:themeFill="background1"/>
          </w:tcPr>
          <w:p w:rsidR="002B1371" w:rsidRPr="00CA7074" w:rsidRDefault="002B1371" w:rsidP="00214DED">
            <w:pPr>
              <w:ind w:left="-66" w:right="-7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Ne se prononce pas</w:t>
            </w:r>
          </w:p>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CA7074" w:rsidP="002B3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4</w:t>
            </w:r>
            <w:r w:rsidR="002B1371" w:rsidRPr="00CA7074">
              <w:rPr>
                <w:rFonts w:asciiTheme="minorHAnsi" w:hAnsiTheme="minorHAnsi" w:cstheme="minorHAnsi"/>
                <w:b/>
                <w:bCs/>
              </w:rPr>
              <w:t>%</w:t>
            </w:r>
          </w:p>
        </w:tc>
        <w:tc>
          <w:tcPr>
            <w:cnfStyle w:val="000010000000" w:firstRow="0" w:lastRow="0" w:firstColumn="0" w:lastColumn="0" w:oddVBand="1" w:evenVBand="0" w:oddHBand="0" w:evenHBand="0" w:firstRowFirstColumn="0" w:firstRowLastColumn="0" w:lastRowFirstColumn="0" w:lastRowLastColumn="0"/>
            <w:tcW w:w="601" w:type="pct"/>
            <w:shd w:val="clear" w:color="auto" w:fill="FFFFFF" w:themeFill="background1"/>
          </w:tcPr>
          <w:p w:rsidR="002B1371" w:rsidRPr="00CA7074" w:rsidRDefault="002B1371" w:rsidP="00214DED">
            <w:pPr>
              <w:jc w:val="center"/>
              <w:rPr>
                <w:rFonts w:asciiTheme="minorHAnsi" w:hAnsiTheme="minorHAnsi" w:cstheme="minorHAnsi"/>
                <w:b/>
                <w:bCs/>
                <w:sz w:val="14"/>
                <w:szCs w:val="14"/>
              </w:rPr>
            </w:pPr>
            <w:r w:rsidRPr="00CA7074">
              <w:rPr>
                <w:rFonts w:asciiTheme="minorHAnsi" w:hAnsiTheme="minorHAnsi" w:cstheme="minorHAnsi"/>
                <w:b/>
                <w:bCs/>
                <w:sz w:val="14"/>
                <w:szCs w:val="14"/>
              </w:rPr>
              <w:t>Augmentation</w:t>
            </w:r>
          </w:p>
          <w:p w:rsidR="002B1371" w:rsidRPr="00CA7074" w:rsidRDefault="002B1371" w:rsidP="00214DED">
            <w:pPr>
              <w:jc w:val="center"/>
              <w:rPr>
                <w:rFonts w:asciiTheme="minorHAnsi" w:hAnsiTheme="minorHAnsi" w:cstheme="minorHAnsi"/>
                <w:b/>
                <w:bCs/>
                <w:sz w:val="14"/>
                <w:szCs w:val="14"/>
              </w:rPr>
            </w:pPr>
          </w:p>
          <w:p w:rsidR="002B1371" w:rsidRPr="00CA7074" w:rsidRDefault="00CA7074" w:rsidP="002B316E">
            <w:pPr>
              <w:jc w:val="center"/>
              <w:rPr>
                <w:rFonts w:asciiTheme="minorHAnsi" w:hAnsiTheme="minorHAnsi" w:cstheme="minorHAnsi"/>
                <w:b/>
                <w:bCs/>
              </w:rPr>
            </w:pPr>
            <w:r w:rsidRPr="00CA7074">
              <w:rPr>
                <w:rFonts w:asciiTheme="minorHAnsi" w:hAnsiTheme="minorHAnsi" w:cstheme="minorHAnsi"/>
                <w:b/>
                <w:bCs/>
              </w:rPr>
              <w:t>1</w:t>
            </w:r>
            <w:r w:rsidR="007D200E" w:rsidRPr="00CA7074">
              <w:rPr>
                <w:rFonts w:asciiTheme="minorHAnsi" w:hAnsiTheme="minorHAnsi" w:cstheme="minorHAnsi"/>
                <w:b/>
                <w:bCs/>
              </w:rPr>
              <w:t>6</w:t>
            </w:r>
            <w:r w:rsidR="002B1371" w:rsidRPr="00CA7074">
              <w:rPr>
                <w:rFonts w:asciiTheme="minorHAnsi" w:hAnsiTheme="minorHAnsi" w:cstheme="minorHAnsi"/>
                <w:b/>
                <w:bCs/>
              </w:rPr>
              <w:t>%</w:t>
            </w:r>
          </w:p>
        </w:tc>
        <w:tc>
          <w:tcPr>
            <w:tcW w:w="514" w:type="pct"/>
            <w:shd w:val="clear" w:color="auto" w:fill="FFFFFF" w:themeFill="background1"/>
          </w:tcPr>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Diminution</w:t>
            </w:r>
          </w:p>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2B1371" w:rsidRPr="00CA7074" w:rsidRDefault="00CA7074" w:rsidP="002B3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18</w:t>
            </w:r>
            <w:r w:rsidR="002B1371" w:rsidRPr="00CA7074">
              <w:rPr>
                <w:rFonts w:asciiTheme="minorHAnsi" w:hAnsiTheme="minorHAnsi" w:cstheme="minorHAnsi"/>
                <w:b/>
                <w:bCs/>
              </w:rPr>
              <w:t>%</w:t>
            </w:r>
          </w:p>
        </w:tc>
        <w:tc>
          <w:tcPr>
            <w:cnfStyle w:val="000010000000" w:firstRow="0" w:lastRow="0" w:firstColumn="0" w:lastColumn="0" w:oddVBand="1" w:evenVBand="0" w:oddHBand="0" w:evenHBand="0" w:firstRowFirstColumn="0" w:firstRowLastColumn="0" w:lastRowFirstColumn="0" w:lastRowLastColumn="0"/>
            <w:tcW w:w="516" w:type="pct"/>
            <w:shd w:val="clear" w:color="auto" w:fill="FFFFFF" w:themeFill="background1"/>
          </w:tcPr>
          <w:p w:rsidR="002B1371" w:rsidRPr="00CA7074" w:rsidRDefault="002B1371" w:rsidP="00214DED">
            <w:pPr>
              <w:jc w:val="center"/>
              <w:rPr>
                <w:rFonts w:asciiTheme="minorHAnsi" w:hAnsiTheme="minorHAnsi" w:cstheme="minorHAnsi"/>
                <w:b/>
                <w:bCs/>
                <w:sz w:val="14"/>
                <w:szCs w:val="14"/>
              </w:rPr>
            </w:pPr>
            <w:r w:rsidRPr="00CA7074">
              <w:rPr>
                <w:rFonts w:asciiTheme="minorHAnsi" w:hAnsiTheme="minorHAnsi" w:cstheme="minorHAnsi"/>
                <w:b/>
                <w:bCs/>
                <w:sz w:val="14"/>
                <w:szCs w:val="14"/>
              </w:rPr>
              <w:t>Stable</w:t>
            </w:r>
          </w:p>
          <w:p w:rsidR="002B1371" w:rsidRPr="00CA7074" w:rsidRDefault="002B1371" w:rsidP="00214DED">
            <w:pPr>
              <w:jc w:val="center"/>
              <w:rPr>
                <w:rFonts w:asciiTheme="minorHAnsi" w:hAnsiTheme="minorHAnsi" w:cstheme="minorHAnsi"/>
                <w:b/>
                <w:bCs/>
                <w:sz w:val="14"/>
                <w:szCs w:val="14"/>
              </w:rPr>
            </w:pPr>
          </w:p>
          <w:p w:rsidR="002B1371" w:rsidRPr="00CA7074" w:rsidRDefault="00CA7074" w:rsidP="007D200E">
            <w:pPr>
              <w:jc w:val="center"/>
              <w:rPr>
                <w:rFonts w:asciiTheme="minorHAnsi" w:hAnsiTheme="minorHAnsi" w:cstheme="minorHAnsi"/>
                <w:b/>
                <w:bCs/>
              </w:rPr>
            </w:pPr>
            <w:r w:rsidRPr="00CA7074">
              <w:rPr>
                <w:rFonts w:asciiTheme="minorHAnsi" w:hAnsiTheme="minorHAnsi" w:cstheme="minorHAnsi"/>
                <w:b/>
                <w:bCs/>
              </w:rPr>
              <w:t>60</w:t>
            </w:r>
            <w:r w:rsidR="002B1371" w:rsidRPr="00CA7074">
              <w:rPr>
                <w:rFonts w:asciiTheme="minorHAnsi" w:hAnsiTheme="minorHAnsi" w:cstheme="minorHAnsi"/>
                <w:b/>
                <w:bCs/>
              </w:rPr>
              <w:t>%</w:t>
            </w:r>
          </w:p>
        </w:tc>
        <w:tc>
          <w:tcPr>
            <w:tcW w:w="624" w:type="pct"/>
            <w:shd w:val="clear" w:color="auto" w:fill="FFFFFF" w:themeFill="background1"/>
          </w:tcPr>
          <w:p w:rsidR="002B1371" w:rsidRPr="00CA7074" w:rsidRDefault="002B1371" w:rsidP="00214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CA7074">
              <w:rPr>
                <w:rFonts w:asciiTheme="minorHAnsi" w:hAnsiTheme="minorHAnsi" w:cstheme="minorHAnsi"/>
                <w:b/>
                <w:bCs/>
                <w:sz w:val="14"/>
                <w:szCs w:val="14"/>
              </w:rPr>
              <w:t>Ne se prononce pas</w:t>
            </w:r>
          </w:p>
          <w:p w:rsidR="00796F99" w:rsidRPr="00CA7074" w:rsidRDefault="00796F99" w:rsidP="00796F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p>
          <w:p w:rsidR="00796F99" w:rsidRPr="00AE7DFF" w:rsidRDefault="002B1371" w:rsidP="00CA70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A7074">
              <w:rPr>
                <w:rFonts w:asciiTheme="minorHAnsi" w:hAnsiTheme="minorHAnsi" w:cstheme="minorHAnsi"/>
                <w:b/>
                <w:bCs/>
              </w:rPr>
              <w:t>6%</w:t>
            </w:r>
          </w:p>
        </w:tc>
      </w:tr>
    </w:tbl>
    <w:p w:rsidR="002B1371" w:rsidRPr="002B316E" w:rsidRDefault="002B1371" w:rsidP="002B1371">
      <w:pPr>
        <w:rPr>
          <w:rFonts w:ascii="Calibri" w:hAnsi="Calibri" w:cs="Calibri"/>
          <w:sz w:val="16"/>
          <w:szCs w:val="16"/>
        </w:rPr>
      </w:pPr>
    </w:p>
    <w:p w:rsidR="00CA7074" w:rsidRPr="00CA7074" w:rsidRDefault="00CA7074" w:rsidP="00CA7074">
      <w:pPr>
        <w:jc w:val="both"/>
        <w:rPr>
          <w:rFonts w:ascii="Calibri" w:hAnsi="Calibri" w:cs="Calibri"/>
        </w:rPr>
      </w:pPr>
      <w:r>
        <w:rPr>
          <w:rFonts w:ascii="Calibri" w:hAnsi="Calibri" w:cs="Calibri"/>
        </w:rPr>
        <w:t xml:space="preserve">Les établissements industriels et commerciaux qui sous-traitent </w:t>
      </w:r>
      <w:r w:rsidR="0069674F">
        <w:rPr>
          <w:rFonts w:ascii="Calibri" w:hAnsi="Calibri" w:cs="Calibri"/>
        </w:rPr>
        <w:t>le transport et/ou des opérations</w:t>
      </w:r>
      <w:r>
        <w:rPr>
          <w:rFonts w:ascii="Calibri" w:hAnsi="Calibri" w:cs="Calibri"/>
        </w:rPr>
        <w:t xml:space="preserve"> logistique</w:t>
      </w:r>
      <w:r w:rsidR="0069674F">
        <w:rPr>
          <w:rFonts w:ascii="Calibri" w:hAnsi="Calibri" w:cs="Calibri"/>
        </w:rPr>
        <w:t xml:space="preserve">s sont plus nombreux à avoir confié </w:t>
      </w:r>
      <w:r w:rsidR="00A723AC">
        <w:rPr>
          <w:rFonts w:ascii="Calibri" w:hAnsi="Calibri" w:cs="Calibri"/>
        </w:rPr>
        <w:t xml:space="preserve">davantage </w:t>
      </w:r>
      <w:r w:rsidR="0069674F">
        <w:rPr>
          <w:rFonts w:ascii="Calibri" w:hAnsi="Calibri" w:cs="Calibri"/>
        </w:rPr>
        <w:t>de volumes à leurs prestataires (37% dans le cas des opérations logistiques hors transport) que le contraire (17%).</w:t>
      </w:r>
    </w:p>
    <w:p w:rsidR="00CA7074" w:rsidRDefault="00CA7074" w:rsidP="00CA7074">
      <w:pPr>
        <w:jc w:val="both"/>
        <w:rPr>
          <w:rFonts w:ascii="Calibri" w:hAnsi="Calibri" w:cs="Calibri"/>
        </w:rPr>
      </w:pPr>
    </w:p>
    <w:p w:rsidR="0069674F" w:rsidRPr="00CA7074" w:rsidRDefault="0069674F" w:rsidP="00CA7074">
      <w:pPr>
        <w:jc w:val="both"/>
        <w:rPr>
          <w:rFonts w:ascii="Calibri" w:hAnsi="Calibri" w:cs="Calibri"/>
        </w:rPr>
      </w:pPr>
      <w:r>
        <w:rPr>
          <w:rFonts w:ascii="Calibri" w:hAnsi="Calibri" w:cs="Calibri"/>
        </w:rPr>
        <w:t>Parallèlement, ils sont près de 30% à avoir bénéfici</w:t>
      </w:r>
      <w:r w:rsidR="0099028D">
        <w:rPr>
          <w:rFonts w:ascii="Calibri" w:hAnsi="Calibri" w:cs="Calibri"/>
        </w:rPr>
        <w:t>é</w:t>
      </w:r>
      <w:r>
        <w:rPr>
          <w:rFonts w:ascii="Calibri" w:hAnsi="Calibri" w:cs="Calibri"/>
        </w:rPr>
        <w:t xml:space="preserve"> d’une baisse des tarifs des prestations de transport et distribution, </w:t>
      </w:r>
      <w:r w:rsidR="0099028D">
        <w:rPr>
          <w:rFonts w:ascii="Calibri" w:hAnsi="Calibri" w:cs="Calibri"/>
        </w:rPr>
        <w:t xml:space="preserve">contre moins d’un sur cinq à avoir supporté des hausses de prix. </w:t>
      </w:r>
    </w:p>
    <w:p w:rsidR="002B1371" w:rsidRPr="00D045A6" w:rsidRDefault="00BF27DC" w:rsidP="002B1371">
      <w:pPr>
        <w:rPr>
          <w:rFonts w:ascii="Arial Black" w:hAnsi="Arial Black" w:cs="Calibri"/>
          <w:b/>
          <w:bCs/>
          <w:color w:val="632423"/>
        </w:rPr>
      </w:pPr>
      <w:r>
        <w:rPr>
          <w:rFonts w:ascii="Arial Black" w:hAnsi="Arial Black" w:cs="Calibri"/>
          <w:b/>
          <w:bCs/>
          <w:color w:val="632423"/>
        </w:rPr>
        <w:t xml:space="preserve">Pas </w:t>
      </w:r>
      <w:r w:rsidR="0099028D">
        <w:rPr>
          <w:rFonts w:ascii="Arial Black" w:hAnsi="Arial Black" w:cs="Calibri"/>
          <w:b/>
          <w:bCs/>
          <w:color w:val="632423"/>
        </w:rPr>
        <w:t>d’amplification</w:t>
      </w:r>
      <w:r>
        <w:rPr>
          <w:rFonts w:ascii="Arial Black" w:hAnsi="Arial Black" w:cs="Calibri"/>
          <w:b/>
          <w:bCs/>
          <w:color w:val="632423"/>
        </w:rPr>
        <w:t xml:space="preserve"> de la</w:t>
      </w:r>
      <w:r w:rsidR="002B1371" w:rsidRPr="00D045A6">
        <w:rPr>
          <w:rFonts w:ascii="Arial Black" w:hAnsi="Arial Black" w:cs="Calibri"/>
          <w:b/>
          <w:bCs/>
          <w:color w:val="632423"/>
        </w:rPr>
        <w:t xml:space="preserve"> sous-traitance </w:t>
      </w:r>
      <w:r w:rsidR="00AA0A6F">
        <w:rPr>
          <w:rFonts w:ascii="Arial Black" w:hAnsi="Arial Black" w:cs="Calibri"/>
          <w:b/>
          <w:bCs/>
          <w:color w:val="632423"/>
        </w:rPr>
        <w:t>envisagé</w:t>
      </w:r>
      <w:r w:rsidR="00A723AC">
        <w:rPr>
          <w:rFonts w:ascii="Arial Black" w:hAnsi="Arial Black" w:cs="Calibri"/>
          <w:b/>
          <w:bCs/>
          <w:color w:val="632423"/>
        </w:rPr>
        <w:t>e</w:t>
      </w:r>
      <w:r w:rsidR="00AA0A6F">
        <w:rPr>
          <w:rFonts w:ascii="Arial Black" w:hAnsi="Arial Black" w:cs="Calibri"/>
          <w:b/>
          <w:bCs/>
          <w:color w:val="632423"/>
        </w:rPr>
        <w:t xml:space="preserve"> en 2015</w:t>
      </w:r>
    </w:p>
    <w:p w:rsidR="002B1371" w:rsidRPr="002B316E" w:rsidRDefault="002B1371" w:rsidP="002B1371">
      <w:pPr>
        <w:jc w:val="center"/>
        <w:rPr>
          <w:rFonts w:ascii="Calibri" w:hAnsi="Calibri" w:cs="Calibri"/>
          <w:b/>
          <w:bCs/>
          <w:sz w:val="16"/>
          <w:szCs w:val="16"/>
        </w:rPr>
      </w:pPr>
    </w:p>
    <w:p w:rsidR="00BF27DC" w:rsidRPr="002436B1" w:rsidRDefault="00BF27DC" w:rsidP="00BF27DC">
      <w:pPr>
        <w:jc w:val="center"/>
        <w:rPr>
          <w:rFonts w:ascii="Calibri" w:hAnsi="Calibri" w:cs="Calibri"/>
          <w:b/>
          <w:bCs/>
        </w:rPr>
      </w:pPr>
      <w:r>
        <w:rPr>
          <w:rFonts w:ascii="Calibri" w:hAnsi="Calibri" w:cs="Calibri"/>
          <w:b/>
          <w:bCs/>
        </w:rPr>
        <w:t>Réalisation</w:t>
      </w:r>
      <w:r w:rsidRPr="002436B1">
        <w:rPr>
          <w:rFonts w:ascii="Calibri" w:hAnsi="Calibri" w:cs="Calibri"/>
          <w:b/>
          <w:bCs/>
        </w:rPr>
        <w:t xml:space="preserve"> de sous-traitance d’opérations logistiques ou de transport en 201</w:t>
      </w:r>
      <w:r>
        <w:rPr>
          <w:rFonts w:ascii="Calibri" w:hAnsi="Calibri" w:cs="Calibri"/>
          <w:b/>
          <w:bCs/>
        </w:rPr>
        <w:t>4</w:t>
      </w:r>
    </w:p>
    <w:p w:rsidR="00BF27DC" w:rsidRDefault="00BF27DC" w:rsidP="00BF27DC">
      <w:pPr>
        <w:jc w:val="center"/>
        <w:rPr>
          <w:rFonts w:ascii="Calibri" w:hAnsi="Calibri" w:cs="Calibri"/>
          <w:b/>
          <w:bCs/>
        </w:rPr>
      </w:pPr>
      <w:r w:rsidRPr="002436B1">
        <w:rPr>
          <w:rFonts w:ascii="Calibri" w:hAnsi="Calibri" w:cs="Calibri"/>
          <w:b/>
          <w:bCs/>
        </w:rPr>
        <w:t>(en % d’établissements)</w:t>
      </w:r>
    </w:p>
    <w:p w:rsidR="00A56B21" w:rsidRPr="002436B1" w:rsidRDefault="00A56B21" w:rsidP="00BF27DC">
      <w:pPr>
        <w:jc w:val="center"/>
        <w:rPr>
          <w:rFonts w:ascii="Calibri" w:hAnsi="Calibri" w:cs="Calibri"/>
          <w:b/>
          <w:bCs/>
        </w:rPr>
      </w:pPr>
    </w:p>
    <w:p w:rsidR="00BF27DC" w:rsidRDefault="00BF27DC" w:rsidP="002B1371">
      <w:pPr>
        <w:jc w:val="center"/>
        <w:rPr>
          <w:rFonts w:ascii="Calibri" w:hAnsi="Calibri" w:cs="Calibri"/>
          <w:b/>
          <w:bCs/>
        </w:rPr>
      </w:pPr>
      <w:r w:rsidRPr="002436B1">
        <w:rPr>
          <w:rFonts w:ascii="Calibri" w:hAnsi="Calibri" w:cs="Calibri"/>
          <w:i/>
          <w:iCs/>
        </w:rPr>
        <w:t xml:space="preserve">Etablissements de 100 salariés et plus                         </w:t>
      </w:r>
      <w:r>
        <w:rPr>
          <w:rFonts w:ascii="Calibri" w:hAnsi="Calibri" w:cs="Calibri"/>
          <w:i/>
          <w:iCs/>
        </w:rPr>
        <w:t xml:space="preserve">                                                                                        </w:t>
      </w:r>
      <w:r w:rsidRPr="002436B1">
        <w:rPr>
          <w:rFonts w:ascii="Calibri" w:hAnsi="Calibri" w:cs="Calibri"/>
          <w:i/>
          <w:iCs/>
        </w:rPr>
        <w:t>Etablissements de 50 à 99 salariés</w:t>
      </w:r>
    </w:p>
    <w:p w:rsidR="00BF27DC" w:rsidRDefault="00BF27DC" w:rsidP="002B1371">
      <w:pPr>
        <w:jc w:val="center"/>
        <w:rPr>
          <w:rFonts w:ascii="Calibri" w:hAnsi="Calibri" w:cs="Calibri"/>
          <w:b/>
          <w:bCs/>
        </w:rPr>
      </w:pPr>
      <w:r>
        <w:rPr>
          <w:rFonts w:ascii="Calibri" w:hAnsi="Calibri" w:cs="Calibri"/>
          <w:noProof/>
        </w:rPr>
        <w:drawing>
          <wp:inline distT="0" distB="0" distL="0" distR="0" wp14:anchorId="516C5EB5" wp14:editId="457A24D7">
            <wp:extent cx="8065698" cy="1259457"/>
            <wp:effectExtent l="0" t="0" r="12065" b="17145"/>
            <wp:docPr id="1" name="Obje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F27DC" w:rsidRDefault="00BF27DC" w:rsidP="002B1371">
      <w:pPr>
        <w:jc w:val="center"/>
        <w:rPr>
          <w:rFonts w:ascii="Calibri" w:hAnsi="Calibri" w:cs="Calibri"/>
          <w:b/>
          <w:bCs/>
        </w:rPr>
      </w:pPr>
    </w:p>
    <w:p w:rsidR="00BF27DC" w:rsidRDefault="00BF27DC"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Prévisions de sous-traitance d’opérations logistiques ou de transport en 201</w:t>
      </w:r>
      <w:r w:rsidR="00BD03A7">
        <w:rPr>
          <w:rFonts w:ascii="Calibri" w:hAnsi="Calibri" w:cs="Calibri"/>
          <w:b/>
          <w:bCs/>
        </w:rPr>
        <w:t>5</w:t>
      </w:r>
    </w:p>
    <w:p w:rsidR="002B1371" w:rsidRDefault="002B1371" w:rsidP="002B1371">
      <w:pPr>
        <w:jc w:val="center"/>
        <w:rPr>
          <w:rFonts w:ascii="Calibri" w:hAnsi="Calibri" w:cs="Calibri"/>
          <w:b/>
          <w:bCs/>
        </w:rPr>
      </w:pPr>
      <w:r w:rsidRPr="002436B1">
        <w:rPr>
          <w:rFonts w:ascii="Calibri" w:hAnsi="Calibri" w:cs="Calibri"/>
          <w:b/>
          <w:bCs/>
        </w:rPr>
        <w:t>(en % d’établissements)</w:t>
      </w:r>
    </w:p>
    <w:p w:rsidR="00A56B21" w:rsidRPr="002436B1" w:rsidRDefault="00A56B21" w:rsidP="002B1371">
      <w:pPr>
        <w:jc w:val="center"/>
        <w:rPr>
          <w:rFonts w:ascii="Calibri" w:hAnsi="Calibri" w:cs="Calibri"/>
          <w:b/>
          <w:bCs/>
        </w:rPr>
      </w:pPr>
    </w:p>
    <w:p w:rsidR="002B1371" w:rsidRDefault="002B1371" w:rsidP="00953CE6">
      <w:pPr>
        <w:ind w:firstLine="709"/>
        <w:jc w:val="center"/>
        <w:rPr>
          <w:rFonts w:ascii="Calibri" w:hAnsi="Calibri" w:cs="Calibri"/>
          <w:i/>
          <w:iCs/>
        </w:rPr>
      </w:pPr>
      <w:r w:rsidRPr="002436B1">
        <w:rPr>
          <w:rFonts w:ascii="Calibri" w:hAnsi="Calibri" w:cs="Calibri"/>
          <w:i/>
          <w:iCs/>
        </w:rPr>
        <w:t xml:space="preserve">Etablissements de 100 salariés et plus                         </w:t>
      </w:r>
      <w:r w:rsidR="00796F99">
        <w:rPr>
          <w:rFonts w:ascii="Calibri" w:hAnsi="Calibri" w:cs="Calibri"/>
          <w:i/>
          <w:iCs/>
        </w:rPr>
        <w:t xml:space="preserve">          </w:t>
      </w:r>
      <w:r w:rsidR="00E14106">
        <w:rPr>
          <w:rFonts w:ascii="Calibri" w:hAnsi="Calibri" w:cs="Calibri"/>
          <w:i/>
          <w:iCs/>
        </w:rPr>
        <w:t xml:space="preserve">                 </w:t>
      </w:r>
      <w:r w:rsidR="00796F99">
        <w:rPr>
          <w:rFonts w:ascii="Calibri" w:hAnsi="Calibri" w:cs="Calibri"/>
          <w:i/>
          <w:iCs/>
        </w:rPr>
        <w:t xml:space="preserve">  </w:t>
      </w:r>
      <w:r w:rsidR="00E14106">
        <w:rPr>
          <w:rFonts w:ascii="Calibri" w:hAnsi="Calibri" w:cs="Calibri"/>
          <w:i/>
          <w:iCs/>
        </w:rPr>
        <w:t xml:space="preserve">               </w:t>
      </w:r>
      <w:r w:rsidR="00796F99">
        <w:rPr>
          <w:rFonts w:ascii="Calibri" w:hAnsi="Calibri" w:cs="Calibri"/>
          <w:i/>
          <w:iCs/>
        </w:rPr>
        <w:t xml:space="preserve">  </w:t>
      </w:r>
      <w:r w:rsidR="00E14106">
        <w:rPr>
          <w:rFonts w:ascii="Calibri" w:hAnsi="Calibri" w:cs="Calibri"/>
          <w:i/>
          <w:iCs/>
        </w:rPr>
        <w:t xml:space="preserve">                            </w:t>
      </w:r>
      <w:r w:rsidR="0086545B">
        <w:rPr>
          <w:rFonts w:ascii="Calibri" w:hAnsi="Calibri" w:cs="Calibri"/>
          <w:i/>
          <w:iCs/>
        </w:rPr>
        <w:t xml:space="preserve">              </w:t>
      </w:r>
      <w:r w:rsidR="002B316E" w:rsidRPr="002436B1">
        <w:rPr>
          <w:rFonts w:ascii="Calibri" w:hAnsi="Calibri" w:cs="Calibri"/>
          <w:i/>
          <w:iCs/>
        </w:rPr>
        <w:t>Etablissements de 50 à 99 salariés</w:t>
      </w:r>
      <w:r w:rsidR="002B316E">
        <w:rPr>
          <w:rFonts w:ascii="Calibri" w:hAnsi="Calibri" w:cs="Calibri"/>
          <w:noProof/>
        </w:rPr>
        <w:t xml:space="preserve"> </w:t>
      </w:r>
      <w:r w:rsidR="002B316E">
        <w:rPr>
          <w:rFonts w:ascii="Calibri" w:hAnsi="Calibri" w:cs="Calibri"/>
          <w:noProof/>
        </w:rPr>
        <w:drawing>
          <wp:inline distT="0" distB="0" distL="0" distR="0" wp14:anchorId="79E412D6" wp14:editId="3DB38791">
            <wp:extent cx="8065698" cy="1259457"/>
            <wp:effectExtent l="0" t="0" r="12065" b="17145"/>
            <wp:docPr id="26" name="Obje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7DFF" w:rsidRDefault="00AE7DFF" w:rsidP="002B1371">
      <w:pPr>
        <w:jc w:val="both"/>
        <w:rPr>
          <w:rFonts w:ascii="Calibri" w:hAnsi="Calibri" w:cs="Calibri"/>
        </w:rPr>
      </w:pPr>
    </w:p>
    <w:p w:rsidR="002B1371" w:rsidRDefault="00495060" w:rsidP="002B1371">
      <w:pPr>
        <w:jc w:val="both"/>
        <w:rPr>
          <w:rFonts w:ascii="Calibri" w:hAnsi="Calibri" w:cs="Calibri"/>
        </w:rPr>
      </w:pPr>
      <w:r>
        <w:rPr>
          <w:rFonts w:ascii="Calibri" w:hAnsi="Calibri" w:cs="Calibri"/>
        </w:rPr>
        <w:t xml:space="preserve">Globalement, les </w:t>
      </w:r>
      <w:r w:rsidR="00AA0A6F">
        <w:rPr>
          <w:rFonts w:ascii="Calibri" w:hAnsi="Calibri" w:cs="Calibri"/>
        </w:rPr>
        <w:t xml:space="preserve">établissements </w:t>
      </w:r>
      <w:r>
        <w:rPr>
          <w:rFonts w:ascii="Calibri" w:hAnsi="Calibri" w:cs="Calibri"/>
        </w:rPr>
        <w:t>de 100 salariés et plus sont un peu moins nombreux à prévoir de</w:t>
      </w:r>
      <w:r w:rsidR="00F8270B">
        <w:rPr>
          <w:rFonts w:ascii="Calibri" w:hAnsi="Calibri" w:cs="Calibri"/>
        </w:rPr>
        <w:t xml:space="preserve"> sous-traiter des opérations de logistique ou de transport :</w:t>
      </w:r>
      <w:r>
        <w:rPr>
          <w:rFonts w:ascii="Calibri" w:hAnsi="Calibri" w:cs="Calibri"/>
        </w:rPr>
        <w:t xml:space="preserve"> a</w:t>
      </w:r>
      <w:r w:rsidR="008063BB">
        <w:rPr>
          <w:rFonts w:ascii="Calibri" w:hAnsi="Calibri" w:cs="Calibri"/>
        </w:rPr>
        <w:t xml:space="preserve">insi, 88% </w:t>
      </w:r>
      <w:r>
        <w:rPr>
          <w:rFonts w:ascii="Calibri" w:hAnsi="Calibri" w:cs="Calibri"/>
        </w:rPr>
        <w:t>d’entre eux</w:t>
      </w:r>
      <w:r w:rsidR="008063BB">
        <w:rPr>
          <w:rFonts w:ascii="Calibri" w:hAnsi="Calibri" w:cs="Calibri"/>
        </w:rPr>
        <w:t xml:space="preserve"> anticipent de </w:t>
      </w:r>
      <w:r w:rsidR="00F8270B">
        <w:rPr>
          <w:rFonts w:ascii="Calibri" w:hAnsi="Calibri" w:cs="Calibri"/>
        </w:rPr>
        <w:t xml:space="preserve">recourir à la sous-traitance d’opérations logistiques ou de transport </w:t>
      </w:r>
      <w:r>
        <w:rPr>
          <w:rFonts w:ascii="Calibri" w:hAnsi="Calibri" w:cs="Calibri"/>
        </w:rPr>
        <w:t>en 2015, alors qu’ils sont 90% à l’avoir pratiqué</w:t>
      </w:r>
      <w:r w:rsidR="00F8270B">
        <w:rPr>
          <w:rFonts w:ascii="Calibri" w:hAnsi="Calibri" w:cs="Calibri"/>
        </w:rPr>
        <w:t>e</w:t>
      </w:r>
      <w:r>
        <w:rPr>
          <w:rFonts w:ascii="Calibri" w:hAnsi="Calibri" w:cs="Calibri"/>
        </w:rPr>
        <w:t xml:space="preserve"> en 2014.</w:t>
      </w:r>
      <w:r w:rsidR="008063BB">
        <w:rPr>
          <w:rFonts w:ascii="Calibri" w:hAnsi="Calibri" w:cs="Calibri"/>
        </w:rPr>
        <w:t xml:space="preserve"> </w:t>
      </w:r>
      <w:r>
        <w:rPr>
          <w:rFonts w:ascii="Calibri" w:hAnsi="Calibri" w:cs="Calibri"/>
        </w:rPr>
        <w:t xml:space="preserve">L’industrie agroalimentaire est en fait le seul secteur dont les établissements sont plus nombreux à envisager de sous-traiter le transport et la logistique.  </w:t>
      </w:r>
    </w:p>
    <w:p w:rsidR="00BD03A7" w:rsidRDefault="00BD03A7" w:rsidP="002B1371">
      <w:pPr>
        <w:jc w:val="both"/>
        <w:rPr>
          <w:rFonts w:ascii="Calibri" w:hAnsi="Calibri" w:cs="Calibri"/>
        </w:rPr>
      </w:pPr>
    </w:p>
    <w:p w:rsidR="00BD03A7" w:rsidRPr="002436B1" w:rsidRDefault="00BD03A7" w:rsidP="002B1371">
      <w:pPr>
        <w:jc w:val="both"/>
        <w:rPr>
          <w:rFonts w:ascii="Calibri" w:hAnsi="Calibri" w:cs="Calibri"/>
        </w:rPr>
      </w:pPr>
    </w:p>
    <w:p w:rsidR="002B1371" w:rsidRPr="00520BAE" w:rsidRDefault="002B1371" w:rsidP="002B1371">
      <w:pPr>
        <w:numPr>
          <w:ilvl w:val="0"/>
          <w:numId w:val="8"/>
        </w:numPr>
        <w:tabs>
          <w:tab w:val="clear" w:pos="1080"/>
          <w:tab w:val="num" w:pos="900"/>
        </w:tabs>
        <w:ind w:left="900" w:right="-82" w:hanging="900"/>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D6615">
        <w:rPr>
          <w:rFonts w:ascii="Calibri" w:hAnsi="Calibri" w:cs="Calibri"/>
          <w:color w:val="0033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r w:rsidRPr="00520BAE">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Gestion des emplois et des recrutements</w:t>
      </w:r>
    </w:p>
    <w:p w:rsidR="002B1371" w:rsidRPr="002436B1" w:rsidRDefault="002B1371" w:rsidP="002B1371">
      <w:pPr>
        <w:ind w:left="360"/>
        <w:jc w:val="both"/>
        <w:rPr>
          <w:rFonts w:ascii="Calibri" w:hAnsi="Calibri" w:cs="Calibri"/>
          <w:color w:val="4F6228"/>
          <w:sz w:val="32"/>
          <w:szCs w:val="32"/>
        </w:rPr>
      </w:pPr>
    </w:p>
    <w:p w:rsidR="002B1371" w:rsidRPr="00520BAE" w:rsidRDefault="002B1371" w:rsidP="002B1371">
      <w:pPr>
        <w:numPr>
          <w:ilvl w:val="1"/>
          <w:numId w:val="8"/>
        </w:numPr>
        <w:jc w:val="both"/>
        <w:rPr>
          <w:rFonts w:ascii="Calibri" w:hAnsi="Calibri" w:cs="Calibri"/>
          <w:b/>
          <w:color w:val="984806" w:themeColor="accent6" w:themeShade="80"/>
          <w:sz w:val="32"/>
          <w:szCs w:val="32"/>
        </w:rPr>
      </w:pPr>
      <w:r w:rsidRPr="00520BAE">
        <w:rPr>
          <w:rFonts w:ascii="Calibri" w:hAnsi="Calibri" w:cs="Calibri"/>
          <w:b/>
          <w:color w:val="984806" w:themeColor="accent6" w:themeShade="80"/>
          <w:sz w:val="32"/>
          <w:szCs w:val="32"/>
        </w:rPr>
        <w:t>Gestion du niveau des effectifs</w:t>
      </w:r>
    </w:p>
    <w:p w:rsidR="002B1371" w:rsidRPr="00204C6F" w:rsidRDefault="002B1371" w:rsidP="002B1371">
      <w:pPr>
        <w:rPr>
          <w:rFonts w:ascii="Calibri" w:hAnsi="Calibri" w:cs="Calibri"/>
          <w:b/>
          <w:color w:val="984806"/>
          <w:sz w:val="28"/>
          <w:szCs w:val="28"/>
        </w:rPr>
      </w:pPr>
    </w:p>
    <w:p w:rsidR="002B1371" w:rsidRPr="00D045A6" w:rsidRDefault="008A2986" w:rsidP="002B1371">
      <w:pPr>
        <w:rPr>
          <w:rFonts w:ascii="Arial Black" w:hAnsi="Arial Black" w:cs="Calibri"/>
          <w:b/>
          <w:bCs/>
          <w:color w:val="632423"/>
        </w:rPr>
      </w:pPr>
      <w:r>
        <w:rPr>
          <w:rFonts w:ascii="Arial Black" w:hAnsi="Arial Black" w:cs="Calibri"/>
          <w:b/>
          <w:bCs/>
          <w:color w:val="632423"/>
        </w:rPr>
        <w:t>Les établissements qui ont détruit des emplois logistiques sont plus nombreux que ceux qui en ont créé</w:t>
      </w:r>
    </w:p>
    <w:p w:rsidR="002B1371" w:rsidRPr="002436B1" w:rsidRDefault="002B1371" w:rsidP="002B1371">
      <w:pP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Evolution des effectifs logistiques par catégorie d’emploi</w:t>
      </w:r>
    </w:p>
    <w:p w:rsidR="002B1371" w:rsidRPr="002436B1" w:rsidRDefault="002B1371" w:rsidP="002B1371">
      <w:pPr>
        <w:rPr>
          <w:rFonts w:ascii="Calibri" w:hAnsi="Calibri" w:cs="Calibri"/>
          <w:i/>
          <w:iCs/>
        </w:rPr>
      </w:pPr>
      <w:r w:rsidRPr="002436B1">
        <w:rPr>
          <w:rFonts w:ascii="Calibri" w:hAnsi="Calibri" w:cs="Calibri"/>
          <w:i/>
          <w:iCs/>
        </w:rPr>
        <w:t>Etablissements de 100 salariés et plus</w:t>
      </w:r>
    </w:p>
    <w:tbl>
      <w:tblPr>
        <w:tblStyle w:val="Listemoyenne1-Accent5"/>
        <w:tblW w:w="5000" w:type="pct"/>
        <w:tblLook w:val="04A0" w:firstRow="1" w:lastRow="0" w:firstColumn="1" w:lastColumn="0" w:noHBand="0" w:noVBand="1"/>
      </w:tblPr>
      <w:tblGrid>
        <w:gridCol w:w="2648"/>
        <w:gridCol w:w="1046"/>
        <w:gridCol w:w="1046"/>
        <w:gridCol w:w="1109"/>
        <w:gridCol w:w="1046"/>
        <w:gridCol w:w="1046"/>
        <w:gridCol w:w="1046"/>
        <w:gridCol w:w="1049"/>
        <w:gridCol w:w="1061"/>
        <w:gridCol w:w="1046"/>
        <w:gridCol w:w="1046"/>
        <w:gridCol w:w="949"/>
        <w:gridCol w:w="931"/>
      </w:tblGrid>
      <w:tr w:rsidR="001C3CA8" w:rsidRPr="00204C6F" w:rsidTr="00AE7DFF">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4BACC6" w:themeColor="accent5"/>
              <w:bottom w:val="nil"/>
            </w:tcBorders>
            <w:noWrap/>
            <w:vAlign w:val="center"/>
          </w:tcPr>
          <w:p w:rsidR="001C3CA8" w:rsidRPr="00204C6F" w:rsidRDefault="001C3CA8" w:rsidP="00AE7DFF">
            <w:pPr>
              <w:ind w:left="30"/>
              <w:rPr>
                <w:rFonts w:ascii="Calibri" w:hAnsi="Calibri" w:cs="Calibri"/>
                <w:b w:val="0"/>
                <w:bCs w:val="0"/>
                <w:sz w:val="20"/>
                <w:szCs w:val="20"/>
              </w:rPr>
            </w:pPr>
            <w:r w:rsidRPr="00204C6F">
              <w:rPr>
                <w:rFonts w:ascii="Calibri" w:hAnsi="Calibri" w:cs="Calibri"/>
                <w:b w:val="0"/>
                <w:bCs w:val="0"/>
                <w:sz w:val="20"/>
                <w:szCs w:val="20"/>
              </w:rPr>
              <w:t> </w:t>
            </w:r>
          </w:p>
        </w:tc>
        <w:tc>
          <w:tcPr>
            <w:tcW w:w="1409" w:type="pct"/>
            <w:gridSpan w:val="4"/>
            <w:tcBorders>
              <w:top w:val="single" w:sz="8" w:space="0" w:color="4BACC6" w:themeColor="accent5"/>
              <w:bottom w:val="nil"/>
              <w:right w:val="nil"/>
            </w:tcBorders>
            <w:noWrap/>
          </w:tcPr>
          <w:p w:rsidR="001C3CA8" w:rsidRPr="00204C6F" w:rsidRDefault="001C3CA8"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Cadres</w:t>
            </w:r>
          </w:p>
        </w:tc>
        <w:tc>
          <w:tcPr>
            <w:tcW w:w="1394" w:type="pct"/>
            <w:gridSpan w:val="4"/>
            <w:tcBorders>
              <w:top w:val="single" w:sz="8" w:space="0" w:color="4BACC6" w:themeColor="accent5"/>
              <w:left w:val="nil"/>
              <w:bottom w:val="nil"/>
              <w:right w:val="single" w:sz="8" w:space="0" w:color="4BACC6" w:themeColor="accent5"/>
            </w:tcBorders>
          </w:tcPr>
          <w:p w:rsidR="001C3CA8" w:rsidRPr="00204C6F" w:rsidRDefault="002839B6" w:rsidP="00204C6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Techniciens/</w:t>
            </w:r>
            <w:r w:rsidR="001C3CA8" w:rsidRPr="00204C6F">
              <w:rPr>
                <w:rFonts w:ascii="Calibri" w:hAnsi="Calibri" w:cs="Calibri"/>
                <w:b/>
                <w:bCs/>
                <w:sz w:val="20"/>
                <w:szCs w:val="20"/>
              </w:rPr>
              <w:t>Agents</w:t>
            </w:r>
            <w:r w:rsidR="001C3CA8">
              <w:rPr>
                <w:rFonts w:ascii="Calibri" w:hAnsi="Calibri" w:cs="Calibri"/>
                <w:b/>
                <w:bCs/>
                <w:sz w:val="20"/>
                <w:szCs w:val="20"/>
              </w:rPr>
              <w:t xml:space="preserve"> </w:t>
            </w:r>
            <w:r w:rsidR="001C3CA8" w:rsidRPr="00204C6F">
              <w:rPr>
                <w:rFonts w:ascii="Calibri" w:hAnsi="Calibri" w:cs="Calibri"/>
                <w:b/>
                <w:bCs/>
                <w:sz w:val="20"/>
                <w:szCs w:val="20"/>
              </w:rPr>
              <w:t>de maîtrise</w:t>
            </w:r>
          </w:p>
        </w:tc>
        <w:tc>
          <w:tcPr>
            <w:tcW w:w="1318" w:type="pct"/>
            <w:gridSpan w:val="4"/>
            <w:tcBorders>
              <w:top w:val="single" w:sz="8" w:space="0" w:color="4BACC6" w:themeColor="accent5"/>
              <w:left w:val="single" w:sz="8" w:space="0" w:color="4BACC6" w:themeColor="accent5"/>
              <w:bottom w:val="nil"/>
            </w:tcBorders>
          </w:tcPr>
          <w:p w:rsidR="001C3CA8" w:rsidRPr="00204C6F" w:rsidRDefault="001C3CA8"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Opérateurs</w:t>
            </w:r>
          </w:p>
        </w:tc>
      </w:tr>
      <w:tr w:rsidR="0099028D" w:rsidRPr="00204C6F" w:rsidTr="00AE7D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9" w:type="pct"/>
            <w:tcBorders>
              <w:top w:val="nil"/>
              <w:bottom w:val="single" w:sz="8" w:space="0" w:color="4BACC6" w:themeColor="accent5"/>
              <w:right w:val="nil"/>
            </w:tcBorders>
            <w:noWrap/>
            <w:vAlign w:val="center"/>
          </w:tcPr>
          <w:p w:rsidR="0099028D" w:rsidRPr="00204C6F" w:rsidRDefault="0099028D" w:rsidP="00AE7DFF">
            <w:pPr>
              <w:ind w:left="30"/>
              <w:rPr>
                <w:rFonts w:ascii="Calibri" w:hAnsi="Calibri" w:cs="Calibri"/>
                <w:b w:val="0"/>
                <w:bCs w:val="0"/>
                <w:sz w:val="20"/>
                <w:szCs w:val="20"/>
              </w:rPr>
            </w:pPr>
          </w:p>
        </w:tc>
        <w:tc>
          <w:tcPr>
            <w:tcW w:w="347"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2011</w:t>
            </w:r>
          </w:p>
        </w:tc>
        <w:tc>
          <w:tcPr>
            <w:tcW w:w="347"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2012</w:t>
            </w:r>
          </w:p>
        </w:tc>
        <w:tc>
          <w:tcPr>
            <w:tcW w:w="368"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2013</w:t>
            </w:r>
          </w:p>
        </w:tc>
        <w:tc>
          <w:tcPr>
            <w:tcW w:w="347" w:type="pct"/>
            <w:tcBorders>
              <w:top w:val="nil"/>
              <w:left w:val="nil"/>
              <w:bottom w:val="single" w:sz="8" w:space="0" w:color="4BACC6" w:themeColor="accent5"/>
              <w:right w:val="nil"/>
            </w:tcBorders>
            <w:vAlign w:val="center"/>
          </w:tcPr>
          <w:p w:rsidR="0099028D" w:rsidRPr="00204C6F" w:rsidRDefault="0099028D" w:rsidP="009902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w:t>
            </w:r>
            <w:r>
              <w:rPr>
                <w:rFonts w:ascii="Calibri" w:hAnsi="Calibri" w:cs="Calibri"/>
                <w:b/>
                <w:bCs/>
                <w:sz w:val="20"/>
                <w:szCs w:val="20"/>
              </w:rPr>
              <w:t>4</w:t>
            </w:r>
          </w:p>
        </w:tc>
        <w:tc>
          <w:tcPr>
            <w:tcW w:w="347"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2011</w:t>
            </w:r>
          </w:p>
        </w:tc>
        <w:tc>
          <w:tcPr>
            <w:tcW w:w="347"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2012</w:t>
            </w:r>
          </w:p>
        </w:tc>
        <w:tc>
          <w:tcPr>
            <w:tcW w:w="348"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2013</w:t>
            </w:r>
          </w:p>
        </w:tc>
        <w:tc>
          <w:tcPr>
            <w:tcW w:w="352" w:type="pct"/>
            <w:tcBorders>
              <w:top w:val="nil"/>
              <w:left w:val="nil"/>
              <w:bottom w:val="single" w:sz="8" w:space="0" w:color="4BACC6" w:themeColor="accent5"/>
              <w:right w:val="nil"/>
            </w:tcBorders>
            <w:vAlign w:val="center"/>
          </w:tcPr>
          <w:p w:rsidR="0099028D" w:rsidRPr="00204C6F" w:rsidRDefault="0099028D" w:rsidP="009902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w:t>
            </w:r>
            <w:r>
              <w:rPr>
                <w:rFonts w:ascii="Calibri" w:hAnsi="Calibri" w:cs="Calibri"/>
                <w:b/>
                <w:bCs/>
                <w:sz w:val="20"/>
                <w:szCs w:val="20"/>
              </w:rPr>
              <w:t>4</w:t>
            </w:r>
          </w:p>
        </w:tc>
        <w:tc>
          <w:tcPr>
            <w:tcW w:w="347"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2011</w:t>
            </w:r>
          </w:p>
        </w:tc>
        <w:tc>
          <w:tcPr>
            <w:tcW w:w="347"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2012</w:t>
            </w:r>
          </w:p>
        </w:tc>
        <w:tc>
          <w:tcPr>
            <w:tcW w:w="315" w:type="pct"/>
            <w:tcBorders>
              <w:top w:val="nil"/>
              <w:left w:val="nil"/>
              <w:bottom w:val="single" w:sz="8" w:space="0" w:color="4BACC6" w:themeColor="accent5"/>
              <w:right w:val="nil"/>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2013</w:t>
            </w:r>
          </w:p>
        </w:tc>
        <w:tc>
          <w:tcPr>
            <w:tcW w:w="309" w:type="pct"/>
            <w:tcBorders>
              <w:top w:val="nil"/>
              <w:left w:val="nil"/>
              <w:bottom w:val="single" w:sz="8" w:space="0" w:color="4BACC6" w:themeColor="accent5"/>
            </w:tcBorders>
            <w:vAlign w:val="center"/>
          </w:tcPr>
          <w:p w:rsidR="0099028D" w:rsidRPr="00204C6F" w:rsidRDefault="0099028D" w:rsidP="009902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04C6F">
              <w:rPr>
                <w:rFonts w:ascii="Calibri" w:hAnsi="Calibri" w:cs="Calibri"/>
                <w:b/>
                <w:bCs/>
                <w:sz w:val="20"/>
                <w:szCs w:val="20"/>
              </w:rPr>
              <w:t>201</w:t>
            </w:r>
            <w:r>
              <w:rPr>
                <w:rFonts w:ascii="Calibri" w:hAnsi="Calibri" w:cs="Calibri"/>
                <w:b/>
                <w:bCs/>
                <w:sz w:val="20"/>
                <w:szCs w:val="20"/>
              </w:rPr>
              <w:t>4</w:t>
            </w:r>
          </w:p>
        </w:tc>
      </w:tr>
      <w:tr w:rsidR="0099028D" w:rsidRPr="00204C6F" w:rsidTr="00AE7DFF">
        <w:trPr>
          <w:trHeight w:val="345"/>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4BACC6" w:themeColor="accent5"/>
            </w:tcBorders>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Augmentation</w:t>
            </w:r>
          </w:p>
        </w:tc>
        <w:tc>
          <w:tcPr>
            <w:tcW w:w="347"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3%</w:t>
            </w:r>
          </w:p>
        </w:tc>
        <w:tc>
          <w:tcPr>
            <w:tcW w:w="347"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2%</w:t>
            </w:r>
          </w:p>
        </w:tc>
        <w:tc>
          <w:tcPr>
            <w:tcW w:w="368"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w:t>
            </w:r>
          </w:p>
        </w:tc>
        <w:tc>
          <w:tcPr>
            <w:tcW w:w="347" w:type="pct"/>
            <w:tcBorders>
              <w:top w:val="single" w:sz="8" w:space="0" w:color="4BACC6" w:themeColor="accent5"/>
              <w:right w:val="single" w:sz="8" w:space="0" w:color="4BACC6" w:themeColor="accent5"/>
            </w:tcBorders>
            <w:vAlign w:val="center"/>
          </w:tcPr>
          <w:p w:rsidR="0099028D" w:rsidRPr="00204C6F" w:rsidRDefault="00A723AC"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3%</w:t>
            </w:r>
          </w:p>
        </w:tc>
        <w:tc>
          <w:tcPr>
            <w:tcW w:w="347" w:type="pct"/>
            <w:tcBorders>
              <w:top w:val="single" w:sz="8" w:space="0" w:color="4BACC6" w:themeColor="accent5"/>
              <w:left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w:t>
            </w:r>
          </w:p>
        </w:tc>
        <w:tc>
          <w:tcPr>
            <w:tcW w:w="347"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4%</w:t>
            </w:r>
          </w:p>
        </w:tc>
        <w:tc>
          <w:tcPr>
            <w:tcW w:w="348"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7%</w:t>
            </w:r>
          </w:p>
        </w:tc>
        <w:tc>
          <w:tcPr>
            <w:tcW w:w="352" w:type="pct"/>
            <w:tcBorders>
              <w:top w:val="single" w:sz="8" w:space="0" w:color="4BACC6" w:themeColor="accent5"/>
              <w:right w:val="single" w:sz="8" w:space="0" w:color="4BACC6" w:themeColor="accent5"/>
            </w:tcBorders>
            <w:vAlign w:val="center"/>
          </w:tcPr>
          <w:p w:rsidR="0099028D" w:rsidRPr="00204C6F" w:rsidRDefault="00A723AC"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w:t>
            </w:r>
          </w:p>
        </w:tc>
        <w:tc>
          <w:tcPr>
            <w:tcW w:w="347" w:type="pct"/>
            <w:tcBorders>
              <w:top w:val="single" w:sz="8" w:space="0" w:color="4BACC6" w:themeColor="accent5"/>
              <w:left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15%</w:t>
            </w:r>
          </w:p>
        </w:tc>
        <w:tc>
          <w:tcPr>
            <w:tcW w:w="347"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14%</w:t>
            </w:r>
          </w:p>
        </w:tc>
        <w:tc>
          <w:tcPr>
            <w:tcW w:w="315" w:type="pct"/>
            <w:tcBorders>
              <w:top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18%</w:t>
            </w:r>
          </w:p>
        </w:tc>
        <w:tc>
          <w:tcPr>
            <w:tcW w:w="309" w:type="pct"/>
            <w:tcBorders>
              <w:top w:val="single" w:sz="8" w:space="0" w:color="4BACC6" w:themeColor="accent5"/>
            </w:tcBorders>
            <w:vAlign w:val="center"/>
          </w:tcPr>
          <w:p w:rsidR="0099028D" w:rsidRPr="00204C6F" w:rsidRDefault="00592A0B"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15%</w:t>
            </w:r>
          </w:p>
        </w:tc>
      </w:tr>
      <w:tr w:rsidR="0099028D" w:rsidRPr="00204C6F" w:rsidTr="00AE7D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9" w:type="pct"/>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Stabilité</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83%</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88%</w:t>
            </w:r>
          </w:p>
        </w:tc>
        <w:tc>
          <w:tcPr>
            <w:tcW w:w="368"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80%</w:t>
            </w:r>
          </w:p>
        </w:tc>
        <w:tc>
          <w:tcPr>
            <w:tcW w:w="347" w:type="pct"/>
            <w:tcBorders>
              <w:right w:val="single" w:sz="8" w:space="0" w:color="4BACC6" w:themeColor="accent5"/>
            </w:tcBorders>
            <w:vAlign w:val="center"/>
          </w:tcPr>
          <w:p w:rsidR="0099028D" w:rsidRPr="00204C6F" w:rsidRDefault="00A723AC"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87%</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82%</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85%</w:t>
            </w:r>
          </w:p>
        </w:tc>
        <w:tc>
          <w:tcPr>
            <w:tcW w:w="348"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80%</w:t>
            </w:r>
          </w:p>
        </w:tc>
        <w:tc>
          <w:tcPr>
            <w:tcW w:w="352" w:type="pct"/>
            <w:tcBorders>
              <w:right w:val="single" w:sz="8" w:space="0" w:color="4BACC6" w:themeColor="accent5"/>
            </w:tcBorders>
            <w:vAlign w:val="center"/>
          </w:tcPr>
          <w:p w:rsidR="0099028D" w:rsidRPr="00204C6F" w:rsidRDefault="00A723AC"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83%</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68%</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67%</w:t>
            </w:r>
          </w:p>
        </w:tc>
        <w:tc>
          <w:tcPr>
            <w:tcW w:w="315"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67%</w:t>
            </w:r>
          </w:p>
        </w:tc>
        <w:tc>
          <w:tcPr>
            <w:tcW w:w="309" w:type="pct"/>
            <w:vAlign w:val="center"/>
          </w:tcPr>
          <w:p w:rsidR="0099028D" w:rsidRPr="00204C6F" w:rsidRDefault="002436C4"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67</w:t>
            </w:r>
            <w:r w:rsidR="00592A0B">
              <w:rPr>
                <w:rFonts w:ascii="Calibri" w:hAnsi="Calibri" w:cs="Calibri"/>
                <w:bCs/>
                <w:sz w:val="20"/>
                <w:szCs w:val="20"/>
              </w:rPr>
              <w:t>%</w:t>
            </w:r>
          </w:p>
        </w:tc>
      </w:tr>
      <w:tr w:rsidR="0099028D" w:rsidRPr="00204C6F" w:rsidTr="00AE7DFF">
        <w:trPr>
          <w:trHeight w:val="345"/>
        </w:trPr>
        <w:tc>
          <w:tcPr>
            <w:cnfStyle w:val="001000000000" w:firstRow="0" w:lastRow="0" w:firstColumn="1" w:lastColumn="0" w:oddVBand="0" w:evenVBand="0" w:oddHBand="0" w:evenHBand="0" w:firstRowFirstColumn="0" w:firstRowLastColumn="0" w:lastRowFirstColumn="0" w:lastRowLastColumn="0"/>
            <w:tcW w:w="879" w:type="pct"/>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Diminution</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2%</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w:t>
            </w:r>
          </w:p>
        </w:tc>
        <w:tc>
          <w:tcPr>
            <w:tcW w:w="368"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5%</w:t>
            </w:r>
          </w:p>
        </w:tc>
        <w:tc>
          <w:tcPr>
            <w:tcW w:w="347" w:type="pct"/>
            <w:tcBorders>
              <w:right w:val="single" w:sz="8" w:space="0" w:color="4BACC6" w:themeColor="accent5"/>
            </w:tcBorders>
            <w:vAlign w:val="center"/>
          </w:tcPr>
          <w:p w:rsidR="0099028D" w:rsidRPr="00204C6F" w:rsidRDefault="00A723AC"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w:t>
            </w:r>
          </w:p>
        </w:tc>
        <w:tc>
          <w:tcPr>
            <w:tcW w:w="347" w:type="pct"/>
            <w:tcBorders>
              <w:left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3%</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9%</w:t>
            </w:r>
          </w:p>
        </w:tc>
        <w:tc>
          <w:tcPr>
            <w:tcW w:w="348"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w:t>
            </w:r>
          </w:p>
        </w:tc>
        <w:tc>
          <w:tcPr>
            <w:tcW w:w="352" w:type="pct"/>
            <w:tcBorders>
              <w:right w:val="single" w:sz="8" w:space="0" w:color="4BACC6" w:themeColor="accent5"/>
            </w:tcBorders>
            <w:vAlign w:val="center"/>
          </w:tcPr>
          <w:p w:rsidR="0099028D" w:rsidRPr="00204C6F" w:rsidRDefault="00A723AC"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8%</w:t>
            </w:r>
          </w:p>
        </w:tc>
        <w:tc>
          <w:tcPr>
            <w:tcW w:w="347" w:type="pct"/>
            <w:tcBorders>
              <w:left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12%</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18%</w:t>
            </w:r>
          </w:p>
        </w:tc>
        <w:tc>
          <w:tcPr>
            <w:tcW w:w="315"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13%</w:t>
            </w:r>
          </w:p>
        </w:tc>
        <w:tc>
          <w:tcPr>
            <w:tcW w:w="309" w:type="pct"/>
            <w:vAlign w:val="center"/>
          </w:tcPr>
          <w:p w:rsidR="0099028D" w:rsidRPr="00204C6F" w:rsidRDefault="002436C4"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17</w:t>
            </w:r>
            <w:r w:rsidR="00592A0B">
              <w:rPr>
                <w:rFonts w:ascii="Calibri" w:hAnsi="Calibri" w:cs="Calibri"/>
                <w:bCs/>
                <w:sz w:val="20"/>
                <w:szCs w:val="20"/>
              </w:rPr>
              <w:t>%</w:t>
            </w:r>
          </w:p>
        </w:tc>
      </w:tr>
      <w:tr w:rsidR="0099028D" w:rsidRPr="00204C6F" w:rsidTr="00AE7D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9" w:type="pct"/>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Ne sait pas</w:t>
            </w:r>
          </w:p>
        </w:tc>
        <w:tc>
          <w:tcPr>
            <w:tcW w:w="347" w:type="pct"/>
            <w:tcBorders>
              <w:bottom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12%</w:t>
            </w:r>
          </w:p>
        </w:tc>
        <w:tc>
          <w:tcPr>
            <w:tcW w:w="347" w:type="pct"/>
            <w:tcBorders>
              <w:bottom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4%</w:t>
            </w:r>
          </w:p>
        </w:tc>
        <w:tc>
          <w:tcPr>
            <w:tcW w:w="368" w:type="pct"/>
            <w:tcBorders>
              <w:bottom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w:t>
            </w:r>
          </w:p>
        </w:tc>
        <w:tc>
          <w:tcPr>
            <w:tcW w:w="347" w:type="pct"/>
            <w:tcBorders>
              <w:bottom w:val="single" w:sz="8" w:space="0" w:color="4BACC6" w:themeColor="accent5"/>
              <w:right w:val="single" w:sz="8" w:space="0" w:color="4BACC6" w:themeColor="accent5"/>
            </w:tcBorders>
            <w:vAlign w:val="center"/>
          </w:tcPr>
          <w:p w:rsidR="0099028D" w:rsidRPr="00204C6F" w:rsidRDefault="00A723AC"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w:t>
            </w:r>
          </w:p>
        </w:tc>
        <w:tc>
          <w:tcPr>
            <w:tcW w:w="348"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4%</w:t>
            </w:r>
          </w:p>
        </w:tc>
        <w:tc>
          <w:tcPr>
            <w:tcW w:w="352" w:type="pct"/>
            <w:tcBorders>
              <w:bottom w:val="single" w:sz="8" w:space="0" w:color="4BACC6" w:themeColor="accent5"/>
              <w:right w:val="single" w:sz="8" w:space="0" w:color="4BACC6" w:themeColor="accent5"/>
            </w:tcBorders>
            <w:vAlign w:val="center"/>
          </w:tcPr>
          <w:p w:rsidR="0099028D" w:rsidRPr="00204C6F" w:rsidRDefault="00592A0B"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5%</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0%</w:t>
            </w:r>
          </w:p>
        </w:tc>
        <w:tc>
          <w:tcPr>
            <w:tcW w:w="315"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w:t>
            </w:r>
          </w:p>
        </w:tc>
        <w:tc>
          <w:tcPr>
            <w:tcW w:w="309" w:type="pct"/>
            <w:vAlign w:val="center"/>
          </w:tcPr>
          <w:p w:rsidR="0099028D" w:rsidRPr="00204C6F" w:rsidRDefault="002436C4"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w:t>
            </w:r>
            <w:r w:rsidR="00592A0B">
              <w:rPr>
                <w:rFonts w:ascii="Calibri" w:hAnsi="Calibri" w:cs="Calibri"/>
                <w:bCs/>
                <w:sz w:val="20"/>
                <w:szCs w:val="20"/>
              </w:rPr>
              <w:t>%</w:t>
            </w:r>
          </w:p>
        </w:tc>
      </w:tr>
    </w:tbl>
    <w:p w:rsidR="002B1371" w:rsidRPr="002436B1" w:rsidRDefault="002B1371" w:rsidP="002B1371">
      <w:pPr>
        <w:rPr>
          <w:rFonts w:ascii="Calibri" w:hAnsi="Calibri" w:cs="Calibri"/>
          <w:i/>
          <w:iCs/>
        </w:rPr>
      </w:pPr>
    </w:p>
    <w:p w:rsidR="002B1371" w:rsidRPr="002839B6" w:rsidRDefault="002B1371" w:rsidP="002B1371">
      <w:pPr>
        <w:rPr>
          <w:rFonts w:ascii="Calibri" w:hAnsi="Calibri" w:cs="Calibri"/>
          <w:b/>
          <w:i/>
          <w:iCs/>
        </w:rPr>
      </w:pPr>
      <w:r w:rsidRPr="002436B1">
        <w:rPr>
          <w:rFonts w:ascii="Calibri" w:hAnsi="Calibri" w:cs="Calibri"/>
          <w:i/>
          <w:iCs/>
        </w:rPr>
        <w:t>Etablissements de 50 à 99 salariés</w:t>
      </w:r>
    </w:p>
    <w:tbl>
      <w:tblPr>
        <w:tblStyle w:val="Listemoyenne1-Accent5"/>
        <w:tblW w:w="5000" w:type="pct"/>
        <w:tblLook w:val="04A0" w:firstRow="1" w:lastRow="0" w:firstColumn="1" w:lastColumn="0" w:noHBand="0" w:noVBand="1"/>
      </w:tblPr>
      <w:tblGrid>
        <w:gridCol w:w="2648"/>
        <w:gridCol w:w="1046"/>
        <w:gridCol w:w="1046"/>
        <w:gridCol w:w="1109"/>
        <w:gridCol w:w="1046"/>
        <w:gridCol w:w="1046"/>
        <w:gridCol w:w="1046"/>
        <w:gridCol w:w="1049"/>
        <w:gridCol w:w="1061"/>
        <w:gridCol w:w="1046"/>
        <w:gridCol w:w="1046"/>
        <w:gridCol w:w="949"/>
        <w:gridCol w:w="931"/>
      </w:tblGrid>
      <w:tr w:rsidR="00204C6F" w:rsidRPr="002839B6" w:rsidTr="009902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4BACC6" w:themeColor="accent5"/>
              <w:bottom w:val="nil"/>
            </w:tcBorders>
            <w:noWrap/>
          </w:tcPr>
          <w:p w:rsidR="002B1371" w:rsidRPr="002839B6" w:rsidRDefault="002B1371" w:rsidP="001C3CA8">
            <w:pPr>
              <w:ind w:left="30"/>
              <w:rPr>
                <w:rFonts w:ascii="Calibri" w:hAnsi="Calibri" w:cs="Calibri"/>
                <w:bCs w:val="0"/>
                <w:sz w:val="20"/>
                <w:szCs w:val="20"/>
              </w:rPr>
            </w:pPr>
            <w:r w:rsidRPr="002839B6">
              <w:rPr>
                <w:rFonts w:ascii="Calibri" w:hAnsi="Calibri" w:cs="Calibri"/>
                <w:bCs w:val="0"/>
                <w:sz w:val="20"/>
                <w:szCs w:val="20"/>
              </w:rPr>
              <w:t> </w:t>
            </w:r>
          </w:p>
        </w:tc>
        <w:tc>
          <w:tcPr>
            <w:tcW w:w="1409" w:type="pct"/>
            <w:gridSpan w:val="4"/>
            <w:tcBorders>
              <w:top w:val="single" w:sz="8" w:space="0" w:color="4BACC6" w:themeColor="accent5"/>
              <w:bottom w:val="nil"/>
              <w:right w:val="nil"/>
            </w:tcBorders>
            <w:noWrap/>
            <w:vAlign w:val="center"/>
          </w:tcPr>
          <w:p w:rsidR="002B1371" w:rsidRPr="002839B6" w:rsidRDefault="002B1371" w:rsidP="00AE7D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Cadres</w:t>
            </w:r>
          </w:p>
        </w:tc>
        <w:tc>
          <w:tcPr>
            <w:tcW w:w="1394" w:type="pct"/>
            <w:gridSpan w:val="4"/>
            <w:tcBorders>
              <w:top w:val="single" w:sz="8" w:space="0" w:color="4BACC6" w:themeColor="accent5"/>
              <w:left w:val="nil"/>
              <w:bottom w:val="nil"/>
              <w:right w:val="nil"/>
            </w:tcBorders>
            <w:vAlign w:val="center"/>
          </w:tcPr>
          <w:p w:rsidR="002B1371" w:rsidRPr="002839B6" w:rsidRDefault="002839B6" w:rsidP="00AE7D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Techniciens/</w:t>
            </w:r>
            <w:r w:rsidR="002B1371" w:rsidRPr="002839B6">
              <w:rPr>
                <w:rFonts w:ascii="Calibri" w:hAnsi="Calibri" w:cs="Calibri"/>
                <w:b/>
                <w:bCs/>
                <w:sz w:val="20"/>
                <w:szCs w:val="20"/>
              </w:rPr>
              <w:t>Agents</w:t>
            </w:r>
            <w:r w:rsidR="00204C6F" w:rsidRPr="002839B6">
              <w:rPr>
                <w:rFonts w:ascii="Calibri" w:hAnsi="Calibri" w:cs="Calibri"/>
                <w:b/>
                <w:bCs/>
                <w:sz w:val="20"/>
                <w:szCs w:val="20"/>
              </w:rPr>
              <w:t xml:space="preserve"> </w:t>
            </w:r>
            <w:r w:rsidR="002B1371" w:rsidRPr="002839B6">
              <w:rPr>
                <w:rFonts w:ascii="Calibri" w:hAnsi="Calibri" w:cs="Calibri"/>
                <w:b/>
                <w:bCs/>
                <w:sz w:val="20"/>
                <w:szCs w:val="20"/>
              </w:rPr>
              <w:t>de maîtrise</w:t>
            </w:r>
          </w:p>
        </w:tc>
        <w:tc>
          <w:tcPr>
            <w:tcW w:w="1318" w:type="pct"/>
            <w:gridSpan w:val="4"/>
            <w:tcBorders>
              <w:top w:val="single" w:sz="8" w:space="0" w:color="4BACC6" w:themeColor="accent5"/>
              <w:left w:val="nil"/>
              <w:bottom w:val="nil"/>
            </w:tcBorders>
            <w:vAlign w:val="center"/>
          </w:tcPr>
          <w:p w:rsidR="002B1371" w:rsidRPr="002839B6" w:rsidRDefault="002B1371" w:rsidP="00AE7D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Opérateurs</w:t>
            </w:r>
          </w:p>
        </w:tc>
      </w:tr>
      <w:tr w:rsidR="0099028D" w:rsidRPr="002839B6" w:rsidTr="0099028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9" w:type="pct"/>
            <w:tcBorders>
              <w:top w:val="nil"/>
              <w:bottom w:val="single" w:sz="8" w:space="0" w:color="4BACC6" w:themeColor="accent5"/>
              <w:right w:val="nil"/>
            </w:tcBorders>
            <w:noWrap/>
          </w:tcPr>
          <w:p w:rsidR="0099028D" w:rsidRPr="002839B6" w:rsidRDefault="0099028D" w:rsidP="00F3284E">
            <w:pPr>
              <w:ind w:left="30"/>
              <w:rPr>
                <w:rFonts w:ascii="Calibri" w:hAnsi="Calibri" w:cs="Calibri"/>
                <w:bCs w:val="0"/>
                <w:sz w:val="20"/>
                <w:szCs w:val="20"/>
              </w:rPr>
            </w:pPr>
          </w:p>
        </w:tc>
        <w:tc>
          <w:tcPr>
            <w:tcW w:w="347"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2011</w:t>
            </w:r>
          </w:p>
        </w:tc>
        <w:tc>
          <w:tcPr>
            <w:tcW w:w="347"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2012</w:t>
            </w:r>
          </w:p>
        </w:tc>
        <w:tc>
          <w:tcPr>
            <w:tcW w:w="368" w:type="pct"/>
            <w:tcBorders>
              <w:top w:val="nil"/>
              <w:left w:val="nil"/>
              <w:bottom w:val="single" w:sz="8" w:space="0" w:color="4BACC6" w:themeColor="accent5"/>
              <w:right w:val="nil"/>
            </w:tcBorders>
            <w:vAlign w:val="center"/>
          </w:tcPr>
          <w:p w:rsidR="0099028D" w:rsidRPr="0099028D"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9028D">
              <w:rPr>
                <w:rFonts w:ascii="Calibri" w:hAnsi="Calibri" w:cs="Calibri"/>
                <w:b/>
                <w:bCs/>
                <w:sz w:val="20"/>
                <w:szCs w:val="20"/>
              </w:rPr>
              <w:t>2013</w:t>
            </w:r>
          </w:p>
        </w:tc>
        <w:tc>
          <w:tcPr>
            <w:tcW w:w="347" w:type="pct"/>
            <w:tcBorders>
              <w:top w:val="nil"/>
              <w:left w:val="nil"/>
              <w:bottom w:val="single" w:sz="8" w:space="0" w:color="4BACC6" w:themeColor="accent5"/>
              <w:right w:val="nil"/>
            </w:tcBorders>
            <w:vAlign w:val="center"/>
          </w:tcPr>
          <w:p w:rsidR="0099028D" w:rsidRPr="0099028D" w:rsidRDefault="0099028D" w:rsidP="009902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9028D">
              <w:rPr>
                <w:rFonts w:ascii="Calibri" w:hAnsi="Calibri" w:cs="Calibri"/>
                <w:b/>
                <w:bCs/>
                <w:sz w:val="20"/>
                <w:szCs w:val="20"/>
              </w:rPr>
              <w:t>2014</w:t>
            </w:r>
          </w:p>
        </w:tc>
        <w:tc>
          <w:tcPr>
            <w:tcW w:w="347"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2011</w:t>
            </w:r>
          </w:p>
        </w:tc>
        <w:tc>
          <w:tcPr>
            <w:tcW w:w="347"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2012</w:t>
            </w:r>
          </w:p>
        </w:tc>
        <w:tc>
          <w:tcPr>
            <w:tcW w:w="348"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2013</w:t>
            </w:r>
          </w:p>
        </w:tc>
        <w:tc>
          <w:tcPr>
            <w:tcW w:w="352" w:type="pct"/>
            <w:tcBorders>
              <w:top w:val="nil"/>
              <w:left w:val="nil"/>
              <w:bottom w:val="single" w:sz="8" w:space="0" w:color="4BACC6" w:themeColor="accent5"/>
              <w:right w:val="nil"/>
            </w:tcBorders>
            <w:vAlign w:val="center"/>
          </w:tcPr>
          <w:p w:rsidR="0099028D" w:rsidRPr="002839B6" w:rsidRDefault="0099028D" w:rsidP="009902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w:t>
            </w:r>
            <w:r>
              <w:rPr>
                <w:rFonts w:ascii="Calibri" w:hAnsi="Calibri" w:cs="Calibri"/>
                <w:b/>
                <w:bCs/>
                <w:sz w:val="20"/>
                <w:szCs w:val="20"/>
              </w:rPr>
              <w:t>4</w:t>
            </w:r>
          </w:p>
        </w:tc>
        <w:tc>
          <w:tcPr>
            <w:tcW w:w="347"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2011</w:t>
            </w:r>
          </w:p>
        </w:tc>
        <w:tc>
          <w:tcPr>
            <w:tcW w:w="347"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2012</w:t>
            </w:r>
          </w:p>
        </w:tc>
        <w:tc>
          <w:tcPr>
            <w:tcW w:w="315" w:type="pct"/>
            <w:tcBorders>
              <w:top w:val="nil"/>
              <w:left w:val="nil"/>
              <w:bottom w:val="single" w:sz="8" w:space="0" w:color="4BACC6" w:themeColor="accent5"/>
              <w:right w:val="nil"/>
            </w:tcBorders>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2013</w:t>
            </w:r>
          </w:p>
        </w:tc>
        <w:tc>
          <w:tcPr>
            <w:tcW w:w="309" w:type="pct"/>
            <w:tcBorders>
              <w:top w:val="nil"/>
              <w:left w:val="nil"/>
              <w:bottom w:val="single" w:sz="8" w:space="0" w:color="4BACC6" w:themeColor="accent5"/>
            </w:tcBorders>
            <w:vAlign w:val="center"/>
          </w:tcPr>
          <w:p w:rsidR="0099028D" w:rsidRPr="002839B6" w:rsidRDefault="0099028D" w:rsidP="009902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839B6">
              <w:rPr>
                <w:rFonts w:ascii="Calibri" w:hAnsi="Calibri" w:cs="Calibri"/>
                <w:b/>
                <w:bCs/>
                <w:sz w:val="20"/>
                <w:szCs w:val="20"/>
              </w:rPr>
              <w:t>201</w:t>
            </w:r>
            <w:r>
              <w:rPr>
                <w:rFonts w:ascii="Calibri" w:hAnsi="Calibri" w:cs="Calibri"/>
                <w:b/>
                <w:bCs/>
                <w:sz w:val="20"/>
                <w:szCs w:val="20"/>
              </w:rPr>
              <w:t>4</w:t>
            </w:r>
          </w:p>
        </w:tc>
      </w:tr>
      <w:tr w:rsidR="0099028D" w:rsidRPr="002839B6" w:rsidTr="0099028D">
        <w:trPr>
          <w:trHeight w:val="345"/>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4BACC6" w:themeColor="accent5"/>
            </w:tcBorders>
            <w:noWrap/>
            <w:vAlign w:val="center"/>
          </w:tcPr>
          <w:p w:rsidR="0099028D" w:rsidRPr="00AE7DFF" w:rsidRDefault="0099028D" w:rsidP="00AE7DFF">
            <w:pPr>
              <w:ind w:left="30"/>
              <w:rPr>
                <w:rFonts w:ascii="Calibri" w:hAnsi="Calibri" w:cs="Calibri"/>
                <w:b w:val="0"/>
                <w:bCs w:val="0"/>
                <w:sz w:val="20"/>
                <w:szCs w:val="20"/>
              </w:rPr>
            </w:pPr>
            <w:r w:rsidRPr="00AE7DFF">
              <w:rPr>
                <w:rFonts w:ascii="Calibri" w:hAnsi="Calibri" w:cs="Calibri"/>
                <w:b w:val="0"/>
                <w:bCs w:val="0"/>
                <w:sz w:val="20"/>
                <w:szCs w:val="20"/>
              </w:rPr>
              <w:t>Augmentation</w:t>
            </w:r>
          </w:p>
        </w:tc>
        <w:tc>
          <w:tcPr>
            <w:tcW w:w="347"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5%</w:t>
            </w:r>
          </w:p>
        </w:tc>
        <w:tc>
          <w:tcPr>
            <w:tcW w:w="347"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3%</w:t>
            </w:r>
          </w:p>
        </w:tc>
        <w:tc>
          <w:tcPr>
            <w:tcW w:w="368"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6%</w:t>
            </w:r>
          </w:p>
        </w:tc>
        <w:tc>
          <w:tcPr>
            <w:tcW w:w="347" w:type="pct"/>
            <w:tcBorders>
              <w:top w:val="single" w:sz="8" w:space="0" w:color="4BACC6" w:themeColor="accent5"/>
              <w:right w:val="single" w:sz="8" w:space="0" w:color="4BACC6" w:themeColor="accent5"/>
            </w:tcBorders>
            <w:vAlign w:val="center"/>
          </w:tcPr>
          <w:p w:rsidR="0099028D" w:rsidRPr="0099028D" w:rsidRDefault="008E55D6"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2%</w:t>
            </w:r>
          </w:p>
        </w:tc>
        <w:tc>
          <w:tcPr>
            <w:tcW w:w="347" w:type="pct"/>
            <w:tcBorders>
              <w:top w:val="single" w:sz="8" w:space="0" w:color="4BACC6" w:themeColor="accent5"/>
              <w:left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8%</w:t>
            </w:r>
          </w:p>
        </w:tc>
        <w:tc>
          <w:tcPr>
            <w:tcW w:w="347"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4%</w:t>
            </w:r>
          </w:p>
        </w:tc>
        <w:tc>
          <w:tcPr>
            <w:tcW w:w="348"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4%</w:t>
            </w:r>
          </w:p>
        </w:tc>
        <w:tc>
          <w:tcPr>
            <w:tcW w:w="352" w:type="pct"/>
            <w:tcBorders>
              <w:top w:val="single" w:sz="8" w:space="0" w:color="4BACC6" w:themeColor="accent5"/>
              <w:right w:val="single" w:sz="8" w:space="0" w:color="4BACC6" w:themeColor="accent5"/>
            </w:tcBorders>
            <w:vAlign w:val="center"/>
          </w:tcPr>
          <w:p w:rsidR="0099028D" w:rsidRPr="0099028D" w:rsidRDefault="008E55D6"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2%</w:t>
            </w:r>
          </w:p>
        </w:tc>
        <w:tc>
          <w:tcPr>
            <w:tcW w:w="347" w:type="pct"/>
            <w:tcBorders>
              <w:top w:val="single" w:sz="8" w:space="0" w:color="4BACC6" w:themeColor="accent5"/>
              <w:left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12%</w:t>
            </w:r>
          </w:p>
        </w:tc>
        <w:tc>
          <w:tcPr>
            <w:tcW w:w="347"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13%</w:t>
            </w:r>
          </w:p>
        </w:tc>
        <w:tc>
          <w:tcPr>
            <w:tcW w:w="315" w:type="pct"/>
            <w:tcBorders>
              <w:top w:val="single" w:sz="8" w:space="0" w:color="4BACC6" w:themeColor="accent5"/>
            </w:tcBorders>
            <w:vAlign w:val="center"/>
          </w:tcPr>
          <w:p w:rsidR="0099028D" w:rsidRPr="0099028D"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99028D">
              <w:rPr>
                <w:rFonts w:ascii="Calibri" w:hAnsi="Calibri" w:cs="Calibri"/>
                <w:bCs/>
                <w:sz w:val="20"/>
                <w:szCs w:val="20"/>
              </w:rPr>
              <w:t>15%</w:t>
            </w:r>
          </w:p>
        </w:tc>
        <w:tc>
          <w:tcPr>
            <w:tcW w:w="309" w:type="pct"/>
            <w:tcBorders>
              <w:top w:val="single" w:sz="8" w:space="0" w:color="4BACC6" w:themeColor="accent5"/>
            </w:tcBorders>
            <w:vAlign w:val="center"/>
          </w:tcPr>
          <w:p w:rsidR="0099028D" w:rsidRPr="0099028D" w:rsidRDefault="008E55D6"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14%</w:t>
            </w:r>
          </w:p>
        </w:tc>
      </w:tr>
      <w:tr w:rsidR="0099028D" w:rsidRPr="00204C6F" w:rsidTr="0099028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9" w:type="pct"/>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Stabilité</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81%</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82%</w:t>
            </w:r>
          </w:p>
        </w:tc>
        <w:tc>
          <w:tcPr>
            <w:tcW w:w="368" w:type="pct"/>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839B6">
              <w:rPr>
                <w:rFonts w:ascii="Calibri" w:hAnsi="Calibri" w:cs="Calibri"/>
                <w:bCs/>
                <w:sz w:val="20"/>
                <w:szCs w:val="20"/>
              </w:rPr>
              <w:t>72%</w:t>
            </w:r>
          </w:p>
        </w:tc>
        <w:tc>
          <w:tcPr>
            <w:tcW w:w="347" w:type="pct"/>
            <w:tcBorders>
              <w:right w:val="single" w:sz="8" w:space="0" w:color="4BACC6" w:themeColor="accent5"/>
            </w:tcBorders>
            <w:vAlign w:val="center"/>
          </w:tcPr>
          <w:p w:rsidR="0099028D" w:rsidRPr="002839B6" w:rsidRDefault="008E55D6"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81%</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80%</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87%</w:t>
            </w:r>
          </w:p>
        </w:tc>
        <w:tc>
          <w:tcPr>
            <w:tcW w:w="348"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74%</w:t>
            </w:r>
          </w:p>
        </w:tc>
        <w:tc>
          <w:tcPr>
            <w:tcW w:w="352" w:type="pct"/>
            <w:tcBorders>
              <w:right w:val="single" w:sz="8" w:space="0" w:color="4BACC6" w:themeColor="accent5"/>
            </w:tcBorders>
            <w:vAlign w:val="center"/>
          </w:tcPr>
          <w:p w:rsidR="0099028D" w:rsidRPr="00204C6F" w:rsidRDefault="008E55D6"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83%</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59%</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75%</w:t>
            </w:r>
          </w:p>
        </w:tc>
        <w:tc>
          <w:tcPr>
            <w:tcW w:w="315"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71%</w:t>
            </w:r>
          </w:p>
        </w:tc>
        <w:tc>
          <w:tcPr>
            <w:tcW w:w="309" w:type="pct"/>
            <w:vAlign w:val="center"/>
          </w:tcPr>
          <w:p w:rsidR="0099028D" w:rsidRPr="00204C6F" w:rsidRDefault="008E55D6"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56%</w:t>
            </w:r>
          </w:p>
        </w:tc>
      </w:tr>
      <w:tr w:rsidR="0099028D" w:rsidRPr="00204C6F" w:rsidTr="0099028D">
        <w:trPr>
          <w:trHeight w:val="345"/>
        </w:trPr>
        <w:tc>
          <w:tcPr>
            <w:cnfStyle w:val="001000000000" w:firstRow="0" w:lastRow="0" w:firstColumn="1" w:lastColumn="0" w:oddVBand="0" w:evenVBand="0" w:oddHBand="0" w:evenHBand="0" w:firstRowFirstColumn="0" w:firstRowLastColumn="0" w:lastRowFirstColumn="0" w:lastRowLastColumn="0"/>
            <w:tcW w:w="879" w:type="pct"/>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Diminution</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2%</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9%</w:t>
            </w:r>
          </w:p>
        </w:tc>
        <w:tc>
          <w:tcPr>
            <w:tcW w:w="368" w:type="pct"/>
            <w:vAlign w:val="center"/>
          </w:tcPr>
          <w:p w:rsidR="0099028D" w:rsidRPr="002839B6"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839B6">
              <w:rPr>
                <w:rFonts w:ascii="Calibri" w:hAnsi="Calibri" w:cs="Calibri"/>
                <w:bCs/>
                <w:sz w:val="20"/>
                <w:szCs w:val="20"/>
              </w:rPr>
              <w:t>5%</w:t>
            </w:r>
          </w:p>
        </w:tc>
        <w:tc>
          <w:tcPr>
            <w:tcW w:w="347" w:type="pct"/>
            <w:tcBorders>
              <w:right w:val="single" w:sz="8" w:space="0" w:color="4BACC6" w:themeColor="accent5"/>
            </w:tcBorders>
            <w:vAlign w:val="center"/>
          </w:tcPr>
          <w:p w:rsidR="0099028D" w:rsidRPr="002839B6" w:rsidRDefault="008E55D6"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10%</w:t>
            </w:r>
          </w:p>
        </w:tc>
        <w:tc>
          <w:tcPr>
            <w:tcW w:w="347" w:type="pct"/>
            <w:tcBorders>
              <w:left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4%</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9%</w:t>
            </w:r>
          </w:p>
        </w:tc>
        <w:tc>
          <w:tcPr>
            <w:tcW w:w="348"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4%</w:t>
            </w:r>
          </w:p>
        </w:tc>
        <w:tc>
          <w:tcPr>
            <w:tcW w:w="352" w:type="pct"/>
            <w:tcBorders>
              <w:right w:val="single" w:sz="8" w:space="0" w:color="4BACC6" w:themeColor="accent5"/>
            </w:tcBorders>
            <w:vAlign w:val="center"/>
          </w:tcPr>
          <w:p w:rsidR="0099028D" w:rsidRPr="00204C6F" w:rsidRDefault="008E55D6"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12%</w:t>
            </w:r>
          </w:p>
        </w:tc>
        <w:tc>
          <w:tcPr>
            <w:tcW w:w="347" w:type="pct"/>
            <w:tcBorders>
              <w:left w:val="single" w:sz="8" w:space="0" w:color="4BACC6" w:themeColor="accent5"/>
            </w:tcBorders>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26%</w:t>
            </w:r>
          </w:p>
        </w:tc>
        <w:tc>
          <w:tcPr>
            <w:tcW w:w="347"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12%</w:t>
            </w:r>
          </w:p>
        </w:tc>
        <w:tc>
          <w:tcPr>
            <w:tcW w:w="315" w:type="pct"/>
            <w:vAlign w:val="center"/>
          </w:tcPr>
          <w:p w:rsidR="0099028D" w:rsidRPr="00204C6F" w:rsidRDefault="0099028D" w:rsidP="00DB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12%</w:t>
            </w:r>
          </w:p>
        </w:tc>
        <w:tc>
          <w:tcPr>
            <w:tcW w:w="309" w:type="pct"/>
            <w:vAlign w:val="center"/>
          </w:tcPr>
          <w:p w:rsidR="0099028D" w:rsidRPr="00204C6F" w:rsidRDefault="008E55D6" w:rsidP="00AE7D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28%</w:t>
            </w:r>
          </w:p>
        </w:tc>
      </w:tr>
      <w:tr w:rsidR="0099028D" w:rsidRPr="00204C6F" w:rsidTr="0099028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9" w:type="pct"/>
            <w:noWrap/>
            <w:vAlign w:val="center"/>
          </w:tcPr>
          <w:p w:rsidR="0099028D" w:rsidRPr="00204C6F" w:rsidRDefault="0099028D" w:rsidP="00AE7DFF">
            <w:pPr>
              <w:ind w:left="30"/>
              <w:rPr>
                <w:rFonts w:ascii="Calibri" w:hAnsi="Calibri" w:cs="Calibri"/>
                <w:b w:val="0"/>
                <w:bCs w:val="0"/>
                <w:sz w:val="20"/>
                <w:szCs w:val="20"/>
              </w:rPr>
            </w:pPr>
            <w:r w:rsidRPr="00204C6F">
              <w:rPr>
                <w:rFonts w:ascii="Calibri" w:hAnsi="Calibri" w:cs="Calibri"/>
                <w:b w:val="0"/>
                <w:bCs w:val="0"/>
                <w:sz w:val="20"/>
                <w:szCs w:val="20"/>
              </w:rPr>
              <w:t>Ne sait pas</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11%</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6%</w:t>
            </w:r>
          </w:p>
        </w:tc>
        <w:tc>
          <w:tcPr>
            <w:tcW w:w="368" w:type="pct"/>
            <w:vAlign w:val="center"/>
          </w:tcPr>
          <w:p w:rsidR="0099028D" w:rsidRPr="002839B6"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839B6">
              <w:rPr>
                <w:rFonts w:ascii="Calibri" w:hAnsi="Calibri" w:cs="Calibri"/>
                <w:bCs/>
                <w:sz w:val="20"/>
                <w:szCs w:val="20"/>
              </w:rPr>
              <w:t>17%</w:t>
            </w:r>
          </w:p>
        </w:tc>
        <w:tc>
          <w:tcPr>
            <w:tcW w:w="347" w:type="pct"/>
            <w:tcBorders>
              <w:bottom w:val="single" w:sz="8" w:space="0" w:color="4BACC6" w:themeColor="accent5"/>
              <w:right w:val="single" w:sz="8" w:space="0" w:color="4BACC6" w:themeColor="accent5"/>
            </w:tcBorders>
            <w:vAlign w:val="center"/>
          </w:tcPr>
          <w:p w:rsidR="0099028D" w:rsidRPr="002839B6" w:rsidRDefault="008E55D6"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7%</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8%</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0%</w:t>
            </w:r>
          </w:p>
        </w:tc>
        <w:tc>
          <w:tcPr>
            <w:tcW w:w="348"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17%</w:t>
            </w:r>
          </w:p>
        </w:tc>
        <w:tc>
          <w:tcPr>
            <w:tcW w:w="352" w:type="pct"/>
            <w:tcBorders>
              <w:bottom w:val="single" w:sz="8" w:space="0" w:color="4BACC6" w:themeColor="accent5"/>
              <w:right w:val="single" w:sz="8" w:space="0" w:color="4BACC6" w:themeColor="accent5"/>
            </w:tcBorders>
            <w:vAlign w:val="center"/>
          </w:tcPr>
          <w:p w:rsidR="0099028D" w:rsidRPr="00204C6F" w:rsidRDefault="008E55D6"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3%</w:t>
            </w:r>
          </w:p>
        </w:tc>
        <w:tc>
          <w:tcPr>
            <w:tcW w:w="347" w:type="pct"/>
            <w:tcBorders>
              <w:left w:val="single" w:sz="8" w:space="0" w:color="4BACC6" w:themeColor="accent5"/>
            </w:tcBorders>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3%</w:t>
            </w:r>
          </w:p>
        </w:tc>
        <w:tc>
          <w:tcPr>
            <w:tcW w:w="347"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0%</w:t>
            </w:r>
          </w:p>
        </w:tc>
        <w:tc>
          <w:tcPr>
            <w:tcW w:w="315" w:type="pct"/>
            <w:vAlign w:val="center"/>
          </w:tcPr>
          <w:p w:rsidR="0099028D" w:rsidRPr="00204C6F" w:rsidRDefault="0099028D" w:rsidP="00DB71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04C6F">
              <w:rPr>
                <w:rFonts w:ascii="Calibri" w:hAnsi="Calibri" w:cs="Calibri"/>
                <w:bCs/>
                <w:sz w:val="20"/>
                <w:szCs w:val="20"/>
              </w:rPr>
              <w:t>1%</w:t>
            </w:r>
          </w:p>
        </w:tc>
        <w:tc>
          <w:tcPr>
            <w:tcW w:w="309" w:type="pct"/>
            <w:vAlign w:val="center"/>
          </w:tcPr>
          <w:p w:rsidR="0099028D" w:rsidRPr="00204C6F" w:rsidRDefault="008E55D6" w:rsidP="00AE7D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w:t>
            </w:r>
          </w:p>
        </w:tc>
      </w:tr>
    </w:tbl>
    <w:p w:rsidR="002B1371" w:rsidRPr="002436B1" w:rsidRDefault="002B1371" w:rsidP="002B1371">
      <w:pPr>
        <w:rPr>
          <w:rFonts w:ascii="Calibri" w:hAnsi="Calibri" w:cs="Calibri"/>
        </w:rPr>
      </w:pPr>
    </w:p>
    <w:p w:rsidR="00F40C22" w:rsidRDefault="008E55D6" w:rsidP="002B1371">
      <w:pPr>
        <w:jc w:val="both"/>
        <w:rPr>
          <w:rFonts w:ascii="Calibri" w:hAnsi="Calibri" w:cs="Calibri"/>
        </w:rPr>
      </w:pPr>
      <w:r>
        <w:rPr>
          <w:rFonts w:ascii="Calibri" w:hAnsi="Calibri" w:cs="Calibri"/>
        </w:rPr>
        <w:t xml:space="preserve">Quelle que soit leur taille, les établissements </w:t>
      </w:r>
      <w:r w:rsidR="00ED0DD9">
        <w:rPr>
          <w:rFonts w:ascii="Calibri" w:hAnsi="Calibri" w:cs="Calibri"/>
        </w:rPr>
        <w:t>sont plus nombreux à faire état d’une baisse d</w:t>
      </w:r>
      <w:r w:rsidR="000139A3">
        <w:rPr>
          <w:rFonts w:ascii="Calibri" w:hAnsi="Calibri" w:cs="Calibri"/>
        </w:rPr>
        <w:t>u</w:t>
      </w:r>
      <w:r w:rsidR="00ED0DD9">
        <w:rPr>
          <w:rFonts w:ascii="Calibri" w:hAnsi="Calibri" w:cs="Calibri"/>
        </w:rPr>
        <w:t xml:space="preserve"> nombre de salariés cadres</w:t>
      </w:r>
      <w:r w:rsidR="000139A3">
        <w:rPr>
          <w:rFonts w:ascii="Calibri" w:hAnsi="Calibri" w:cs="Calibri"/>
        </w:rPr>
        <w:t xml:space="preserve"> de la</w:t>
      </w:r>
      <w:r w:rsidR="00ED0DD9">
        <w:rPr>
          <w:rFonts w:ascii="Calibri" w:hAnsi="Calibri" w:cs="Calibri"/>
        </w:rPr>
        <w:t xml:space="preserve"> logistique dans leur structure (10% des établissements de 50 à 99 salariés) en 2014 que de leur progression (seulement 2% des établissements de 50 à 99 salariés). </w:t>
      </w:r>
    </w:p>
    <w:p w:rsidR="00F40C22" w:rsidRDefault="00F40C22" w:rsidP="002B1371">
      <w:pPr>
        <w:jc w:val="both"/>
        <w:rPr>
          <w:rFonts w:ascii="Calibri" w:hAnsi="Calibri" w:cs="Calibri"/>
        </w:rPr>
      </w:pPr>
    </w:p>
    <w:p w:rsidR="002B1371" w:rsidRDefault="00ED0DD9" w:rsidP="002B1371">
      <w:pPr>
        <w:jc w:val="both"/>
        <w:rPr>
          <w:rFonts w:ascii="Calibri" w:hAnsi="Calibri" w:cs="Calibri"/>
        </w:rPr>
      </w:pPr>
      <w:r>
        <w:rPr>
          <w:rFonts w:ascii="Calibri" w:hAnsi="Calibri" w:cs="Calibri"/>
        </w:rPr>
        <w:t xml:space="preserve">La même tendance s’observe pour les techniciens et agents de maîtrise, avec un différentiel particulièrement marqué dans les </w:t>
      </w:r>
      <w:r w:rsidR="00F40C22">
        <w:rPr>
          <w:rFonts w:ascii="Calibri" w:hAnsi="Calibri" w:cs="Calibri"/>
        </w:rPr>
        <w:t xml:space="preserve">établissements de moins de 100 salariés, où 12% des répondants </w:t>
      </w:r>
      <w:r w:rsidR="008149A7">
        <w:rPr>
          <w:rFonts w:ascii="Calibri" w:hAnsi="Calibri" w:cs="Calibri"/>
        </w:rPr>
        <w:t>font le constat d’</w:t>
      </w:r>
      <w:r w:rsidR="00F40C22">
        <w:rPr>
          <w:rFonts w:ascii="Calibri" w:hAnsi="Calibri" w:cs="Calibri"/>
        </w:rPr>
        <w:t xml:space="preserve">une baisse des effectifs de techniciens/agents de maîtrise de la logistique dans leur établissement, et seulement 2% </w:t>
      </w:r>
      <w:r w:rsidR="008149A7">
        <w:rPr>
          <w:rFonts w:ascii="Calibri" w:hAnsi="Calibri" w:cs="Calibri"/>
        </w:rPr>
        <w:t>d’</w:t>
      </w:r>
      <w:r w:rsidR="00F40C22">
        <w:rPr>
          <w:rFonts w:ascii="Calibri" w:hAnsi="Calibri" w:cs="Calibri"/>
        </w:rPr>
        <w:t>une hausse</w:t>
      </w:r>
      <w:r>
        <w:rPr>
          <w:rFonts w:ascii="Calibri" w:hAnsi="Calibri" w:cs="Calibri"/>
        </w:rPr>
        <w:t xml:space="preserve">. </w:t>
      </w:r>
    </w:p>
    <w:p w:rsidR="008E55D6" w:rsidRPr="002436B1" w:rsidRDefault="003B1C13" w:rsidP="002B1371">
      <w:pPr>
        <w:jc w:val="both"/>
        <w:rPr>
          <w:rFonts w:ascii="Calibri" w:hAnsi="Calibri" w:cs="Calibri"/>
        </w:rPr>
      </w:pPr>
      <w:r>
        <w:rPr>
          <w:rFonts w:ascii="Calibri" w:hAnsi="Calibri" w:cs="Calibri"/>
        </w:rPr>
        <w:t>L</w:t>
      </w:r>
      <w:r w:rsidR="00F40C22">
        <w:rPr>
          <w:rFonts w:ascii="Calibri" w:hAnsi="Calibri" w:cs="Calibri"/>
        </w:rPr>
        <w:t>es établissements de moins de 100 salariés indiquent également plus souvent des destructions d’emplois d’opérateurs logistiques (28%) que des créations de postes (14%)</w:t>
      </w:r>
      <w:r w:rsidR="00C811D4">
        <w:rPr>
          <w:rFonts w:ascii="Calibri" w:hAnsi="Calibri" w:cs="Calibri"/>
        </w:rPr>
        <w:t xml:space="preserve">. Même </w:t>
      </w:r>
      <w:r w:rsidR="00F40C22">
        <w:rPr>
          <w:rFonts w:ascii="Calibri" w:hAnsi="Calibri" w:cs="Calibri"/>
        </w:rPr>
        <w:t>dans les établissements de 100 salariés et plus</w:t>
      </w:r>
      <w:r w:rsidR="00C811D4">
        <w:rPr>
          <w:rFonts w:ascii="Calibri" w:hAnsi="Calibri" w:cs="Calibri"/>
        </w:rPr>
        <w:t>,</w:t>
      </w:r>
      <w:r w:rsidR="00F40C22">
        <w:rPr>
          <w:rFonts w:ascii="Calibri" w:hAnsi="Calibri" w:cs="Calibri"/>
        </w:rPr>
        <w:t xml:space="preserve"> </w:t>
      </w:r>
      <w:r w:rsidR="00C811D4">
        <w:rPr>
          <w:rFonts w:ascii="Calibri" w:hAnsi="Calibri" w:cs="Calibri"/>
        </w:rPr>
        <w:t xml:space="preserve">les évolutions de l’emploi des opérateurs logistiques ne </w:t>
      </w:r>
      <w:r w:rsidR="00F40C22">
        <w:rPr>
          <w:rFonts w:ascii="Calibri" w:hAnsi="Calibri" w:cs="Calibri"/>
        </w:rPr>
        <w:t>sont p</w:t>
      </w:r>
      <w:r w:rsidR="00C811D4">
        <w:rPr>
          <w:rFonts w:ascii="Calibri" w:hAnsi="Calibri" w:cs="Calibri"/>
        </w:rPr>
        <w:t>a</w:t>
      </w:r>
      <w:r w:rsidR="00F40C22">
        <w:rPr>
          <w:rFonts w:ascii="Calibri" w:hAnsi="Calibri" w:cs="Calibri"/>
        </w:rPr>
        <w:t>s favorables : 15% d’entre eux ont accru leurs effectifs d’opérateurs logistiques</w:t>
      </w:r>
      <w:r w:rsidR="002436C4" w:rsidRPr="002436C4">
        <w:rPr>
          <w:rFonts w:ascii="Calibri" w:hAnsi="Calibri" w:cs="Calibri"/>
        </w:rPr>
        <w:t xml:space="preserve"> </w:t>
      </w:r>
      <w:r w:rsidR="002436C4">
        <w:rPr>
          <w:rFonts w:ascii="Calibri" w:hAnsi="Calibri" w:cs="Calibri"/>
        </w:rPr>
        <w:t xml:space="preserve">en 2014, et </w:t>
      </w:r>
      <w:r w:rsidR="00C811D4">
        <w:rPr>
          <w:rFonts w:ascii="Calibri" w:hAnsi="Calibri" w:cs="Calibri"/>
        </w:rPr>
        <w:t>17</w:t>
      </w:r>
      <w:r w:rsidR="002436C4">
        <w:rPr>
          <w:rFonts w:ascii="Calibri" w:hAnsi="Calibri" w:cs="Calibri"/>
        </w:rPr>
        <w:t xml:space="preserve">% les ont réduits. </w:t>
      </w:r>
    </w:p>
    <w:p w:rsidR="002B1371" w:rsidRPr="002436B1" w:rsidRDefault="002B1371" w:rsidP="002B1371">
      <w:pPr>
        <w:jc w:val="both"/>
        <w:rPr>
          <w:rFonts w:ascii="Calibri" w:hAnsi="Calibri" w:cs="Calibri"/>
        </w:rPr>
      </w:pPr>
    </w:p>
    <w:p w:rsidR="002B1371" w:rsidRPr="002436B1" w:rsidRDefault="002B1371" w:rsidP="002B1371">
      <w:pPr>
        <w:jc w:val="center"/>
        <w:rPr>
          <w:rFonts w:ascii="Calibri" w:hAnsi="Calibri" w:cs="Calibri"/>
          <w:b/>
          <w:bCs/>
        </w:rPr>
      </w:pPr>
    </w:p>
    <w:p w:rsidR="002B1371" w:rsidRPr="00D045A6" w:rsidRDefault="00764172" w:rsidP="002B1371">
      <w:pPr>
        <w:rPr>
          <w:rFonts w:ascii="Arial Black" w:hAnsi="Arial Black" w:cs="Calibri"/>
          <w:b/>
          <w:bCs/>
          <w:color w:val="632423"/>
        </w:rPr>
      </w:pPr>
      <w:r>
        <w:rPr>
          <w:rFonts w:ascii="Arial Black" w:hAnsi="Arial Black" w:cs="Calibri"/>
          <w:b/>
          <w:bCs/>
          <w:color w:val="632423"/>
        </w:rPr>
        <w:t>Des</w:t>
      </w:r>
      <w:r w:rsidR="002B1371" w:rsidRPr="00D045A6">
        <w:rPr>
          <w:rFonts w:ascii="Arial Black" w:hAnsi="Arial Black" w:cs="Calibri"/>
          <w:b/>
          <w:bCs/>
          <w:color w:val="632423"/>
        </w:rPr>
        <w:t xml:space="preserve"> compression</w:t>
      </w:r>
      <w:r>
        <w:rPr>
          <w:rFonts w:ascii="Arial Black" w:hAnsi="Arial Black" w:cs="Calibri"/>
          <w:b/>
          <w:bCs/>
          <w:color w:val="632423"/>
        </w:rPr>
        <w:t>s</w:t>
      </w:r>
      <w:r w:rsidR="002B1371" w:rsidRPr="00D045A6">
        <w:rPr>
          <w:rFonts w:ascii="Arial Black" w:hAnsi="Arial Black" w:cs="Calibri"/>
          <w:b/>
          <w:bCs/>
          <w:color w:val="632423"/>
        </w:rPr>
        <w:t xml:space="preserve"> d</w:t>
      </w:r>
      <w:r>
        <w:rPr>
          <w:rFonts w:ascii="Arial Black" w:hAnsi="Arial Black" w:cs="Calibri"/>
          <w:b/>
          <w:bCs/>
          <w:color w:val="632423"/>
        </w:rPr>
        <w:t>’</w:t>
      </w:r>
      <w:r w:rsidR="002B1371" w:rsidRPr="00D045A6">
        <w:rPr>
          <w:rFonts w:ascii="Arial Black" w:hAnsi="Arial Black" w:cs="Calibri"/>
          <w:b/>
          <w:bCs/>
          <w:color w:val="632423"/>
        </w:rPr>
        <w:t>effectifs</w:t>
      </w:r>
      <w:r>
        <w:rPr>
          <w:rFonts w:ascii="Arial Black" w:hAnsi="Arial Black" w:cs="Calibri"/>
          <w:b/>
          <w:bCs/>
          <w:color w:val="632423"/>
        </w:rPr>
        <w:t xml:space="preserve"> imputables à</w:t>
      </w:r>
      <w:r w:rsidR="002B1371" w:rsidRPr="00D045A6">
        <w:rPr>
          <w:rFonts w:ascii="Arial Black" w:hAnsi="Arial Black" w:cs="Calibri"/>
          <w:b/>
          <w:bCs/>
          <w:color w:val="632423"/>
        </w:rPr>
        <w:t xml:space="preserve"> la baisse d’activité</w:t>
      </w:r>
      <w:r>
        <w:rPr>
          <w:rFonts w:ascii="Arial Black" w:hAnsi="Arial Black" w:cs="Calibri"/>
          <w:b/>
          <w:bCs/>
          <w:color w:val="632423"/>
        </w:rPr>
        <w:t xml:space="preserve"> et</w:t>
      </w:r>
      <w:r w:rsidR="002B1371" w:rsidRPr="00D045A6">
        <w:rPr>
          <w:rFonts w:ascii="Arial Black" w:hAnsi="Arial Black" w:cs="Calibri"/>
          <w:b/>
          <w:bCs/>
          <w:color w:val="632423"/>
        </w:rPr>
        <w:t xml:space="preserve"> </w:t>
      </w:r>
      <w:r>
        <w:rPr>
          <w:rFonts w:ascii="Arial Black" w:hAnsi="Arial Black" w:cs="Calibri"/>
          <w:b/>
          <w:bCs/>
          <w:color w:val="632423"/>
        </w:rPr>
        <w:t>aux</w:t>
      </w:r>
      <w:r w:rsidR="002B1371" w:rsidRPr="00D045A6">
        <w:rPr>
          <w:rFonts w:ascii="Arial Black" w:hAnsi="Arial Black" w:cs="Calibri"/>
          <w:b/>
          <w:bCs/>
          <w:color w:val="632423"/>
        </w:rPr>
        <w:t xml:space="preserve"> réorganisations logistiques</w:t>
      </w:r>
      <w:r w:rsidR="00CE7089">
        <w:rPr>
          <w:rFonts w:ascii="Arial Black" w:hAnsi="Arial Black" w:cs="Calibri"/>
          <w:b/>
          <w:bCs/>
          <w:color w:val="632423"/>
        </w:rPr>
        <w:t>…</w:t>
      </w:r>
    </w:p>
    <w:p w:rsidR="002B1371" w:rsidRPr="002436B1" w:rsidRDefault="002B1371"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Facteurs d’évolution à la baisse des effectifs d’opérateurs logistiques</w:t>
      </w:r>
    </w:p>
    <w:p w:rsidR="002B1371" w:rsidRPr="002436B1" w:rsidRDefault="002B1371" w:rsidP="002B1371">
      <w:pPr>
        <w:jc w:val="center"/>
        <w:rPr>
          <w:rFonts w:ascii="Calibri" w:hAnsi="Calibri" w:cs="Calibri"/>
          <w:b/>
          <w:bCs/>
        </w:rPr>
      </w:pPr>
      <w:r w:rsidRPr="002436B1">
        <w:rPr>
          <w:rFonts w:ascii="Calibri" w:hAnsi="Calibri" w:cs="Calibri"/>
          <w:b/>
          <w:bCs/>
        </w:rPr>
        <w:t>(en pourcentage d’établissements ayant cité l’item)</w:t>
      </w:r>
    </w:p>
    <w:p w:rsidR="002B1371" w:rsidRPr="002436B1" w:rsidRDefault="002B1371" w:rsidP="002B1371">
      <w:pPr>
        <w:rPr>
          <w:rFonts w:ascii="Calibri" w:hAnsi="Calibri" w:cs="Calibri"/>
        </w:rPr>
      </w:pPr>
    </w:p>
    <w:p w:rsidR="002B1371" w:rsidRDefault="00F60D52" w:rsidP="00F60D52">
      <w:pPr>
        <w:ind w:left="6381"/>
        <w:rPr>
          <w:rFonts w:ascii="Calibri" w:hAnsi="Calibri" w:cs="Calibri"/>
          <w:i/>
          <w:iCs/>
        </w:rPr>
      </w:pPr>
      <w:r>
        <w:rPr>
          <w:rFonts w:ascii="Calibri" w:hAnsi="Calibri" w:cs="Calibri"/>
          <w:i/>
          <w:iCs/>
        </w:rPr>
        <w:t xml:space="preserve">          </w:t>
      </w:r>
      <w:r w:rsidR="002B1371" w:rsidRPr="002436B1">
        <w:rPr>
          <w:rFonts w:ascii="Calibri" w:hAnsi="Calibri" w:cs="Calibri"/>
          <w:i/>
          <w:iCs/>
        </w:rPr>
        <w:t>Etablissements de 100 salariés et plus</w:t>
      </w:r>
      <w:r w:rsidR="00DE09F0">
        <w:rPr>
          <w:rFonts w:ascii="Calibri" w:hAnsi="Calibri" w:cs="Calibri"/>
          <w:i/>
          <w:iCs/>
        </w:rPr>
        <w:tab/>
      </w:r>
      <w:r>
        <w:rPr>
          <w:rFonts w:ascii="Calibri" w:hAnsi="Calibri" w:cs="Calibri"/>
          <w:i/>
          <w:iCs/>
        </w:rPr>
        <w:t xml:space="preserve">          </w:t>
      </w:r>
      <w:r w:rsidR="00303F0E" w:rsidRPr="002436B1">
        <w:rPr>
          <w:rFonts w:ascii="Calibri" w:hAnsi="Calibri" w:cs="Calibri"/>
          <w:i/>
          <w:iCs/>
        </w:rPr>
        <w:t>Etablissements de 50 à 99 salariés</w:t>
      </w:r>
    </w:p>
    <w:tbl>
      <w:tblPr>
        <w:tblStyle w:val="Listemoyenne1-Accent4"/>
        <w:tblW w:w="5017" w:type="pct"/>
        <w:tblLook w:val="04A0" w:firstRow="1" w:lastRow="0" w:firstColumn="1" w:lastColumn="0" w:noHBand="0" w:noVBand="1"/>
      </w:tblPr>
      <w:tblGrid>
        <w:gridCol w:w="7044"/>
        <w:gridCol w:w="787"/>
        <w:gridCol w:w="787"/>
        <w:gridCol w:w="787"/>
        <w:gridCol w:w="787"/>
        <w:gridCol w:w="786"/>
        <w:gridCol w:w="224"/>
        <w:gridCol w:w="786"/>
        <w:gridCol w:w="786"/>
        <w:gridCol w:w="786"/>
        <w:gridCol w:w="786"/>
        <w:gridCol w:w="774"/>
      </w:tblGrid>
      <w:tr w:rsidR="00C029BC" w:rsidRPr="00E14106" w:rsidTr="00C029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9" w:type="pct"/>
            <w:tcBorders>
              <w:top w:val="single" w:sz="8" w:space="0" w:color="7C567C"/>
              <w:bottom w:val="single" w:sz="8" w:space="0" w:color="7C567C"/>
            </w:tcBorders>
            <w:noWrap/>
          </w:tcPr>
          <w:p w:rsidR="00C029BC" w:rsidRPr="00E14106" w:rsidRDefault="00C029BC" w:rsidP="00F3284E">
            <w:pPr>
              <w:rPr>
                <w:rFonts w:asciiTheme="minorHAnsi" w:hAnsiTheme="minorHAnsi" w:cstheme="minorHAnsi"/>
                <w:b w:val="0"/>
                <w:bCs w:val="0"/>
                <w:sz w:val="20"/>
              </w:rPr>
            </w:pP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2010</w:t>
            </w: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2011</w:t>
            </w: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2012</w:t>
            </w: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2013</w:t>
            </w:r>
          </w:p>
        </w:tc>
        <w:tc>
          <w:tcPr>
            <w:tcW w:w="260" w:type="pct"/>
            <w:tcBorders>
              <w:top w:val="single" w:sz="8" w:space="0" w:color="7C567C"/>
              <w:bottom w:val="single" w:sz="8" w:space="0" w:color="7C567C"/>
            </w:tcBorders>
          </w:tcPr>
          <w:p w:rsidR="00C029BC" w:rsidRPr="00E14106" w:rsidRDefault="00C029BC" w:rsidP="00C029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w:t>
            </w:r>
            <w:r>
              <w:rPr>
                <w:rFonts w:asciiTheme="minorHAnsi" w:hAnsiTheme="minorHAnsi" w:cstheme="minorHAnsi"/>
                <w:bCs/>
                <w:sz w:val="20"/>
              </w:rPr>
              <w:t>4</w:t>
            </w:r>
          </w:p>
        </w:tc>
        <w:tc>
          <w:tcPr>
            <w:tcW w:w="74" w:type="pct"/>
            <w:tcBorders>
              <w:bottom w:val="nil"/>
            </w:tcBorders>
            <w:shd w:val="clear" w:color="auto" w:fill="auto"/>
          </w:tcPr>
          <w:p w:rsidR="00C029BC" w:rsidRPr="00E14106" w:rsidRDefault="00C029BC" w:rsidP="006455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2010</w:t>
            </w: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2011</w:t>
            </w: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2012</w:t>
            </w:r>
          </w:p>
        </w:tc>
        <w:tc>
          <w:tcPr>
            <w:tcW w:w="260" w:type="pct"/>
            <w:tcBorders>
              <w:top w:val="single" w:sz="8" w:space="0" w:color="7C567C"/>
              <w:bottom w:val="single" w:sz="8" w:space="0" w:color="7C567C"/>
            </w:tcBorders>
          </w:tcPr>
          <w:p w:rsidR="00C029BC" w:rsidRPr="00E14106" w:rsidRDefault="00C029BC" w:rsidP="00DB719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E14106">
              <w:rPr>
                <w:rFonts w:asciiTheme="minorHAnsi" w:hAnsiTheme="minorHAnsi" w:cstheme="minorHAnsi"/>
                <w:bCs/>
                <w:sz w:val="20"/>
              </w:rPr>
              <w:t>2013</w:t>
            </w:r>
          </w:p>
        </w:tc>
        <w:tc>
          <w:tcPr>
            <w:tcW w:w="256" w:type="pct"/>
            <w:tcBorders>
              <w:top w:val="single" w:sz="8" w:space="0" w:color="7C567C"/>
              <w:bottom w:val="single" w:sz="8" w:space="0" w:color="7C567C"/>
            </w:tcBorders>
          </w:tcPr>
          <w:p w:rsidR="00C029BC" w:rsidRPr="00E14106" w:rsidRDefault="00C029BC" w:rsidP="006455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rPr>
            </w:pPr>
            <w:r>
              <w:rPr>
                <w:rFonts w:asciiTheme="minorHAnsi" w:hAnsiTheme="minorHAnsi" w:cstheme="minorHAnsi"/>
                <w:bCs/>
                <w:sz w:val="20"/>
              </w:rPr>
              <w:t>2014</w:t>
            </w:r>
          </w:p>
        </w:tc>
      </w:tr>
      <w:tr w:rsidR="003E746F" w:rsidRPr="00C53078" w:rsidTr="00DB719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329" w:type="pct"/>
            <w:tcBorders>
              <w:top w:val="single" w:sz="8" w:space="0" w:color="7C567C"/>
            </w:tcBorders>
            <w:noWrap/>
          </w:tcPr>
          <w:p w:rsidR="003E746F" w:rsidRPr="00C53078" w:rsidRDefault="003E746F" w:rsidP="00F3284E">
            <w:pPr>
              <w:ind w:left="23"/>
              <w:rPr>
                <w:rFonts w:asciiTheme="minorHAnsi" w:hAnsiTheme="minorHAnsi" w:cstheme="minorHAnsi"/>
                <w:b w:val="0"/>
                <w:bCs w:val="0"/>
                <w:sz w:val="20"/>
              </w:rPr>
            </w:pPr>
            <w:r w:rsidRPr="00C53078">
              <w:rPr>
                <w:rFonts w:asciiTheme="minorHAnsi" w:hAnsiTheme="minorHAnsi" w:cstheme="minorHAnsi"/>
                <w:b w:val="0"/>
                <w:bCs w:val="0"/>
                <w:sz w:val="20"/>
              </w:rPr>
              <w:t xml:space="preserve">La baisse d'activité de l'entreprise  </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51%</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46%</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57%</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51%</w:t>
            </w:r>
          </w:p>
        </w:tc>
        <w:tc>
          <w:tcPr>
            <w:tcW w:w="260" w:type="pct"/>
            <w:tcBorders>
              <w:top w:val="single" w:sz="8" w:space="0" w:color="7C567C"/>
            </w:tcBorders>
            <w:vAlign w:val="bottom"/>
          </w:tcPr>
          <w:p w:rsidR="003E746F" w:rsidRPr="00183195" w:rsidRDefault="003E74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41%</w:t>
            </w:r>
          </w:p>
        </w:tc>
        <w:tc>
          <w:tcPr>
            <w:tcW w:w="74" w:type="pct"/>
            <w:tcBorders>
              <w:top w:val="nil"/>
              <w:bottom w:val="nil"/>
            </w:tcBorders>
            <w:shd w:val="clear" w:color="auto" w:fill="auto"/>
          </w:tcPr>
          <w:p w:rsidR="003E746F" w:rsidRPr="00183195" w:rsidRDefault="003E746F" w:rsidP="006455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50%</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62%</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39%</w:t>
            </w:r>
          </w:p>
        </w:tc>
        <w:tc>
          <w:tcPr>
            <w:tcW w:w="260" w:type="pct"/>
            <w:tcBorders>
              <w:top w:val="single" w:sz="8" w:space="0" w:color="7C567C"/>
            </w:tcBorders>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52%</w:t>
            </w:r>
          </w:p>
        </w:tc>
        <w:tc>
          <w:tcPr>
            <w:tcW w:w="256" w:type="pct"/>
            <w:tcBorders>
              <w:top w:val="single" w:sz="8" w:space="0" w:color="7C567C"/>
            </w:tcBorders>
            <w:vAlign w:val="bottom"/>
          </w:tcPr>
          <w:p w:rsidR="003E746F" w:rsidRPr="00183195" w:rsidRDefault="003E74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68%</w:t>
            </w:r>
          </w:p>
        </w:tc>
      </w:tr>
      <w:tr w:rsidR="003E746F" w:rsidRPr="00C53078" w:rsidTr="00DB7191">
        <w:trPr>
          <w:trHeight w:val="85"/>
        </w:trPr>
        <w:tc>
          <w:tcPr>
            <w:cnfStyle w:val="001000000000" w:firstRow="0" w:lastRow="0" w:firstColumn="1" w:lastColumn="0" w:oddVBand="0" w:evenVBand="0" w:oddHBand="0" w:evenHBand="0" w:firstRowFirstColumn="0" w:firstRowLastColumn="0" w:lastRowFirstColumn="0" w:lastRowLastColumn="0"/>
            <w:tcW w:w="2329" w:type="pct"/>
            <w:noWrap/>
          </w:tcPr>
          <w:p w:rsidR="003E746F" w:rsidRPr="00C53078" w:rsidRDefault="003E746F" w:rsidP="00F3284E">
            <w:pPr>
              <w:ind w:left="23"/>
              <w:rPr>
                <w:rFonts w:asciiTheme="minorHAnsi" w:hAnsiTheme="minorHAnsi" w:cstheme="minorHAnsi"/>
                <w:b w:val="0"/>
                <w:bCs w:val="0"/>
                <w:sz w:val="20"/>
              </w:rPr>
            </w:pPr>
            <w:r w:rsidRPr="00C53078">
              <w:rPr>
                <w:rFonts w:asciiTheme="minorHAnsi" w:hAnsiTheme="minorHAnsi" w:cstheme="minorHAnsi"/>
                <w:b w:val="0"/>
                <w:bCs w:val="0"/>
                <w:sz w:val="20"/>
              </w:rPr>
              <w:t xml:space="preserve">La réorganisation de la logistique de l'entreprise </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43%</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36%</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39%</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42%</w:t>
            </w:r>
          </w:p>
        </w:tc>
        <w:tc>
          <w:tcPr>
            <w:tcW w:w="260" w:type="pct"/>
            <w:vAlign w:val="bottom"/>
          </w:tcPr>
          <w:p w:rsidR="003E746F" w:rsidRPr="00183195" w:rsidRDefault="003E74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41%</w:t>
            </w:r>
          </w:p>
        </w:tc>
        <w:tc>
          <w:tcPr>
            <w:tcW w:w="74" w:type="pct"/>
            <w:tcBorders>
              <w:top w:val="nil"/>
              <w:bottom w:val="nil"/>
            </w:tcBorders>
            <w:shd w:val="clear" w:color="auto" w:fill="auto"/>
          </w:tcPr>
          <w:p w:rsidR="003E746F" w:rsidRPr="00183195" w:rsidRDefault="003E746F" w:rsidP="006455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39%</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22%</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25%</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20%</w:t>
            </w:r>
          </w:p>
        </w:tc>
        <w:tc>
          <w:tcPr>
            <w:tcW w:w="256" w:type="pct"/>
            <w:vAlign w:val="bottom"/>
          </w:tcPr>
          <w:p w:rsidR="003E746F" w:rsidRPr="00183195" w:rsidRDefault="003E74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36%</w:t>
            </w:r>
          </w:p>
        </w:tc>
      </w:tr>
      <w:tr w:rsidR="003E746F" w:rsidRPr="00C53078" w:rsidTr="00DB719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9" w:type="pct"/>
            <w:noWrap/>
          </w:tcPr>
          <w:p w:rsidR="003E746F" w:rsidRPr="00C53078" w:rsidRDefault="003E746F" w:rsidP="00F3284E">
            <w:pPr>
              <w:ind w:left="23"/>
              <w:rPr>
                <w:rFonts w:asciiTheme="minorHAnsi" w:hAnsiTheme="minorHAnsi" w:cstheme="minorHAnsi"/>
                <w:b w:val="0"/>
                <w:bCs w:val="0"/>
                <w:sz w:val="20"/>
              </w:rPr>
            </w:pPr>
            <w:r w:rsidRPr="00C53078">
              <w:rPr>
                <w:rFonts w:asciiTheme="minorHAnsi" w:hAnsiTheme="minorHAnsi" w:cstheme="minorHAnsi"/>
                <w:b w:val="0"/>
                <w:bCs w:val="0"/>
                <w:sz w:val="20"/>
              </w:rPr>
              <w:t>Des délocalisations</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w:t>
            </w:r>
          </w:p>
        </w:tc>
        <w:tc>
          <w:tcPr>
            <w:tcW w:w="260" w:type="pct"/>
            <w:vAlign w:val="bottom"/>
          </w:tcPr>
          <w:p w:rsidR="003E746F" w:rsidRPr="00183195" w:rsidRDefault="003E74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0%</w:t>
            </w:r>
          </w:p>
        </w:tc>
        <w:tc>
          <w:tcPr>
            <w:tcW w:w="74" w:type="pct"/>
            <w:tcBorders>
              <w:top w:val="nil"/>
              <w:bottom w:val="nil"/>
            </w:tcBorders>
            <w:shd w:val="clear" w:color="auto" w:fill="auto"/>
          </w:tcPr>
          <w:p w:rsidR="003E746F" w:rsidRPr="00183195" w:rsidRDefault="003E746F" w:rsidP="006455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56" w:type="pct"/>
            <w:vAlign w:val="bottom"/>
          </w:tcPr>
          <w:p w:rsidR="003E746F" w:rsidRPr="00183195" w:rsidRDefault="003E74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0%</w:t>
            </w:r>
          </w:p>
        </w:tc>
      </w:tr>
      <w:tr w:rsidR="003E746F" w:rsidRPr="00C53078" w:rsidTr="00DB7191">
        <w:trPr>
          <w:trHeight w:val="255"/>
        </w:trPr>
        <w:tc>
          <w:tcPr>
            <w:cnfStyle w:val="001000000000" w:firstRow="0" w:lastRow="0" w:firstColumn="1" w:lastColumn="0" w:oddVBand="0" w:evenVBand="0" w:oddHBand="0" w:evenHBand="0" w:firstRowFirstColumn="0" w:firstRowLastColumn="0" w:lastRowFirstColumn="0" w:lastRowLastColumn="0"/>
            <w:tcW w:w="2329" w:type="pct"/>
            <w:noWrap/>
          </w:tcPr>
          <w:p w:rsidR="003E746F" w:rsidRPr="00C53078" w:rsidRDefault="003E746F" w:rsidP="00F3284E">
            <w:pPr>
              <w:ind w:left="23"/>
              <w:rPr>
                <w:rFonts w:asciiTheme="minorHAnsi" w:hAnsiTheme="minorHAnsi" w:cstheme="minorHAnsi"/>
                <w:b w:val="0"/>
                <w:bCs w:val="0"/>
                <w:sz w:val="20"/>
              </w:rPr>
            </w:pPr>
            <w:r w:rsidRPr="00C53078">
              <w:rPr>
                <w:rFonts w:asciiTheme="minorHAnsi" w:hAnsiTheme="minorHAnsi" w:cstheme="minorHAnsi"/>
                <w:b w:val="0"/>
                <w:bCs w:val="0"/>
                <w:sz w:val="20"/>
              </w:rPr>
              <w:t xml:space="preserve">L'amélioration de la productivité </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8%</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14%</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7%</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13%</w:t>
            </w:r>
          </w:p>
        </w:tc>
        <w:tc>
          <w:tcPr>
            <w:tcW w:w="260" w:type="pct"/>
            <w:vAlign w:val="bottom"/>
          </w:tcPr>
          <w:p w:rsidR="003E746F" w:rsidRPr="00183195" w:rsidRDefault="003E74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20%</w:t>
            </w:r>
          </w:p>
        </w:tc>
        <w:tc>
          <w:tcPr>
            <w:tcW w:w="74" w:type="pct"/>
            <w:tcBorders>
              <w:top w:val="nil"/>
              <w:bottom w:val="nil"/>
            </w:tcBorders>
            <w:shd w:val="clear" w:color="auto" w:fill="auto"/>
          </w:tcPr>
          <w:p w:rsidR="003E746F" w:rsidRPr="00183195" w:rsidRDefault="003E746F" w:rsidP="006455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9%</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16%</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32%</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11%</w:t>
            </w:r>
          </w:p>
        </w:tc>
        <w:tc>
          <w:tcPr>
            <w:tcW w:w="256" w:type="pct"/>
            <w:vAlign w:val="bottom"/>
          </w:tcPr>
          <w:p w:rsidR="003E746F" w:rsidRPr="00183195" w:rsidRDefault="003E74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27%</w:t>
            </w:r>
          </w:p>
        </w:tc>
      </w:tr>
      <w:tr w:rsidR="003E746F" w:rsidRPr="00C53078" w:rsidTr="00DB719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9" w:type="pct"/>
            <w:noWrap/>
          </w:tcPr>
          <w:p w:rsidR="003E746F" w:rsidRPr="00C53078" w:rsidRDefault="003E746F" w:rsidP="00F3284E">
            <w:pPr>
              <w:ind w:left="23"/>
              <w:rPr>
                <w:rFonts w:asciiTheme="minorHAnsi" w:hAnsiTheme="minorHAnsi" w:cstheme="minorHAnsi"/>
                <w:b w:val="0"/>
                <w:bCs w:val="0"/>
                <w:sz w:val="20"/>
              </w:rPr>
            </w:pPr>
            <w:r w:rsidRPr="00C53078">
              <w:rPr>
                <w:rFonts w:asciiTheme="minorHAnsi" w:hAnsiTheme="minorHAnsi" w:cstheme="minorHAnsi"/>
                <w:b w:val="0"/>
                <w:bCs w:val="0"/>
                <w:sz w:val="20"/>
              </w:rPr>
              <w:t>La sous-traitance/L'externalisation partielle ou totale de la logistique de l'entreprise</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w:t>
            </w:r>
          </w:p>
        </w:tc>
        <w:tc>
          <w:tcPr>
            <w:tcW w:w="260" w:type="pct"/>
            <w:vAlign w:val="bottom"/>
          </w:tcPr>
          <w:p w:rsidR="003E746F" w:rsidRPr="00183195" w:rsidRDefault="003E74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1%</w:t>
            </w:r>
          </w:p>
        </w:tc>
        <w:tc>
          <w:tcPr>
            <w:tcW w:w="74" w:type="pct"/>
            <w:tcBorders>
              <w:top w:val="nil"/>
              <w:bottom w:val="nil"/>
            </w:tcBorders>
            <w:shd w:val="clear" w:color="auto" w:fill="auto"/>
          </w:tcPr>
          <w:p w:rsidR="003E746F" w:rsidRPr="00183195" w:rsidRDefault="003E746F" w:rsidP="006455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5%</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60" w:type="pct"/>
          </w:tcPr>
          <w:p w:rsidR="003E746F" w:rsidRPr="00183195" w:rsidRDefault="003E746F" w:rsidP="00DB71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0%</w:t>
            </w:r>
          </w:p>
        </w:tc>
        <w:tc>
          <w:tcPr>
            <w:tcW w:w="256" w:type="pct"/>
            <w:vAlign w:val="bottom"/>
          </w:tcPr>
          <w:p w:rsidR="003E746F" w:rsidRPr="00183195" w:rsidRDefault="003E74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5%</w:t>
            </w:r>
          </w:p>
        </w:tc>
      </w:tr>
      <w:tr w:rsidR="003E746F" w:rsidRPr="00C53078" w:rsidTr="00DB7191">
        <w:trPr>
          <w:trHeight w:val="255"/>
        </w:trPr>
        <w:tc>
          <w:tcPr>
            <w:cnfStyle w:val="001000000000" w:firstRow="0" w:lastRow="0" w:firstColumn="1" w:lastColumn="0" w:oddVBand="0" w:evenVBand="0" w:oddHBand="0" w:evenHBand="0" w:firstRowFirstColumn="0" w:firstRowLastColumn="0" w:lastRowFirstColumn="0" w:lastRowLastColumn="0"/>
            <w:tcW w:w="2329" w:type="pct"/>
            <w:noWrap/>
          </w:tcPr>
          <w:p w:rsidR="003E746F" w:rsidRPr="00C53078" w:rsidRDefault="003E746F" w:rsidP="00F3284E">
            <w:pPr>
              <w:ind w:left="23"/>
              <w:rPr>
                <w:rFonts w:asciiTheme="minorHAnsi" w:hAnsiTheme="minorHAnsi" w:cstheme="minorHAnsi"/>
                <w:b w:val="0"/>
                <w:bCs w:val="0"/>
                <w:sz w:val="20"/>
              </w:rPr>
            </w:pPr>
            <w:r w:rsidRPr="00C53078">
              <w:rPr>
                <w:rFonts w:asciiTheme="minorHAnsi" w:hAnsiTheme="minorHAnsi" w:cstheme="minorHAnsi"/>
                <w:b w:val="0"/>
                <w:bCs w:val="0"/>
                <w:sz w:val="20"/>
              </w:rPr>
              <w:t>Autres</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8%</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20%</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24%</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16%</w:t>
            </w:r>
          </w:p>
        </w:tc>
        <w:tc>
          <w:tcPr>
            <w:tcW w:w="260" w:type="pct"/>
            <w:vAlign w:val="bottom"/>
          </w:tcPr>
          <w:p w:rsidR="003E746F" w:rsidRPr="00183195" w:rsidRDefault="003E74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17%</w:t>
            </w:r>
          </w:p>
        </w:tc>
        <w:tc>
          <w:tcPr>
            <w:tcW w:w="74" w:type="pct"/>
            <w:tcBorders>
              <w:top w:val="nil"/>
              <w:bottom w:val="nil"/>
            </w:tcBorders>
            <w:shd w:val="clear" w:color="auto" w:fill="auto"/>
          </w:tcPr>
          <w:p w:rsidR="003E746F" w:rsidRPr="00183195" w:rsidRDefault="003E746F" w:rsidP="006455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11%</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19%</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30%</w:t>
            </w:r>
          </w:p>
        </w:tc>
        <w:tc>
          <w:tcPr>
            <w:tcW w:w="260" w:type="pct"/>
          </w:tcPr>
          <w:p w:rsidR="003E746F" w:rsidRPr="00183195" w:rsidRDefault="003E746F" w:rsidP="00DB71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83195">
              <w:rPr>
                <w:rFonts w:asciiTheme="minorHAnsi" w:hAnsiTheme="minorHAnsi" w:cstheme="minorHAnsi"/>
                <w:bCs/>
                <w:sz w:val="20"/>
                <w:szCs w:val="20"/>
              </w:rPr>
              <w:t>17%</w:t>
            </w:r>
          </w:p>
        </w:tc>
        <w:tc>
          <w:tcPr>
            <w:tcW w:w="256" w:type="pct"/>
            <w:vAlign w:val="bottom"/>
          </w:tcPr>
          <w:p w:rsidR="003E746F" w:rsidRPr="00183195" w:rsidRDefault="003E74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83195">
              <w:rPr>
                <w:rFonts w:ascii="Calibri" w:hAnsi="Calibri" w:cs="Calibri"/>
                <w:color w:val="000000"/>
                <w:sz w:val="20"/>
                <w:szCs w:val="20"/>
              </w:rPr>
              <w:t>10%</w:t>
            </w:r>
          </w:p>
        </w:tc>
      </w:tr>
    </w:tbl>
    <w:p w:rsidR="002B1371" w:rsidRPr="002436B1" w:rsidRDefault="002B1371" w:rsidP="002B1371">
      <w:pPr>
        <w:rPr>
          <w:rFonts w:ascii="Calibri" w:hAnsi="Calibri" w:cs="Calibri"/>
        </w:rPr>
      </w:pPr>
    </w:p>
    <w:p w:rsidR="002B1371" w:rsidRDefault="003E746F" w:rsidP="002B1371">
      <w:pPr>
        <w:jc w:val="both"/>
        <w:rPr>
          <w:rFonts w:ascii="Calibri" w:hAnsi="Calibri" w:cs="Calibri"/>
        </w:rPr>
      </w:pPr>
      <w:r>
        <w:rPr>
          <w:rFonts w:ascii="Calibri" w:hAnsi="Calibri" w:cs="Calibri"/>
        </w:rPr>
        <w:t xml:space="preserve">Les deux tiers des établissements de moins de 100 salariés confrontés à des baisses d’effectifs logistiques l’expliquent par la baisse d’activité de </w:t>
      </w:r>
      <w:r w:rsidR="00764172">
        <w:rPr>
          <w:rFonts w:ascii="Calibri" w:hAnsi="Calibri" w:cs="Calibri"/>
        </w:rPr>
        <w:t xml:space="preserve">leur </w:t>
      </w:r>
      <w:r>
        <w:rPr>
          <w:rFonts w:ascii="Calibri" w:hAnsi="Calibri" w:cs="Calibri"/>
        </w:rPr>
        <w:t xml:space="preserve">entreprise. </w:t>
      </w:r>
    </w:p>
    <w:p w:rsidR="00764172" w:rsidRDefault="00764172" w:rsidP="002B1371">
      <w:pPr>
        <w:jc w:val="both"/>
        <w:rPr>
          <w:rFonts w:ascii="Calibri" w:hAnsi="Calibri" w:cs="Calibri"/>
        </w:rPr>
      </w:pPr>
    </w:p>
    <w:p w:rsidR="00764172" w:rsidRDefault="00764172" w:rsidP="002B1371">
      <w:pPr>
        <w:jc w:val="both"/>
        <w:rPr>
          <w:rFonts w:ascii="Calibri" w:hAnsi="Calibri" w:cs="Calibri"/>
        </w:rPr>
      </w:pPr>
      <w:r>
        <w:rPr>
          <w:rFonts w:ascii="Calibri" w:hAnsi="Calibri" w:cs="Calibri"/>
        </w:rPr>
        <w:t xml:space="preserve">Cette raison est également invoquée par quatre établissements sur dix de 100 salariés et plus, </w:t>
      </w:r>
      <w:r w:rsidR="0007443A">
        <w:rPr>
          <w:rFonts w:ascii="Calibri" w:hAnsi="Calibri" w:cs="Calibri"/>
        </w:rPr>
        <w:t>autant</w:t>
      </w:r>
      <w:r>
        <w:rPr>
          <w:rFonts w:ascii="Calibri" w:hAnsi="Calibri" w:cs="Calibri"/>
        </w:rPr>
        <w:t xml:space="preserve"> que la réorganisation de la logistique de l’entreprise.</w:t>
      </w:r>
    </w:p>
    <w:p w:rsidR="003E746F" w:rsidRDefault="003E746F" w:rsidP="002B1371">
      <w:pPr>
        <w:jc w:val="both"/>
        <w:rPr>
          <w:rFonts w:ascii="Calibri" w:hAnsi="Calibri" w:cs="Calibri"/>
        </w:rPr>
      </w:pPr>
    </w:p>
    <w:p w:rsidR="003E746F" w:rsidRPr="002436B1" w:rsidRDefault="003E746F" w:rsidP="002B1371">
      <w:pPr>
        <w:jc w:val="both"/>
        <w:rPr>
          <w:rFonts w:ascii="Calibri" w:hAnsi="Calibri" w:cs="Calibri"/>
        </w:rPr>
      </w:pPr>
      <w:r>
        <w:rPr>
          <w:rFonts w:ascii="Calibri" w:hAnsi="Calibri" w:cs="Calibri"/>
        </w:rPr>
        <w:t xml:space="preserve">Les délocalisations et l’externalisation de la logistique joueraient à la marge, évoquées par moins de 5% des répondants. </w:t>
      </w:r>
    </w:p>
    <w:p w:rsidR="002B1371" w:rsidRDefault="002B1371" w:rsidP="002B1371">
      <w:pPr>
        <w:jc w:val="both"/>
        <w:rPr>
          <w:rFonts w:ascii="Calibri" w:hAnsi="Calibri" w:cs="Calibri"/>
        </w:rPr>
      </w:pPr>
    </w:p>
    <w:p w:rsidR="004A420B" w:rsidRPr="002436B1" w:rsidRDefault="004A420B" w:rsidP="004A420B">
      <w:pPr>
        <w:jc w:val="both"/>
        <w:rPr>
          <w:rFonts w:ascii="Calibri" w:hAnsi="Calibri" w:cs="Calibri"/>
        </w:rPr>
      </w:pPr>
    </w:p>
    <w:p w:rsidR="004A420B" w:rsidRDefault="004A420B">
      <w:pPr>
        <w:rPr>
          <w:rFonts w:ascii="Arial Black" w:hAnsi="Arial Black" w:cs="Calibri"/>
          <w:b/>
          <w:bCs/>
          <w:color w:val="632423"/>
        </w:rPr>
      </w:pPr>
      <w:r>
        <w:rPr>
          <w:rFonts w:ascii="Arial Black" w:hAnsi="Arial Black" w:cs="Calibri"/>
          <w:b/>
          <w:bCs/>
          <w:color w:val="632423"/>
        </w:rPr>
        <w:br w:type="page"/>
      </w:r>
    </w:p>
    <w:p w:rsidR="004A420B" w:rsidRPr="00AF11F6" w:rsidRDefault="00CE7089" w:rsidP="004A420B">
      <w:pPr>
        <w:rPr>
          <w:rFonts w:ascii="Arial Black" w:hAnsi="Arial Black" w:cs="Calibri"/>
          <w:b/>
          <w:bCs/>
          <w:color w:val="632423"/>
        </w:rPr>
      </w:pPr>
      <w:r>
        <w:rPr>
          <w:rFonts w:ascii="Arial Black" w:hAnsi="Arial Black" w:cs="Calibri"/>
          <w:b/>
          <w:bCs/>
          <w:color w:val="632423"/>
        </w:rPr>
        <w:t xml:space="preserve">… qui </w:t>
      </w:r>
      <w:r w:rsidR="008149A7">
        <w:rPr>
          <w:rFonts w:ascii="Arial Black" w:hAnsi="Arial Black" w:cs="Calibri"/>
          <w:b/>
          <w:bCs/>
          <w:color w:val="632423"/>
        </w:rPr>
        <w:t>se sont opérées avec le</w:t>
      </w:r>
      <w:r>
        <w:rPr>
          <w:rFonts w:ascii="Arial Black" w:hAnsi="Arial Black" w:cs="Calibri"/>
          <w:b/>
          <w:bCs/>
          <w:color w:val="632423"/>
        </w:rPr>
        <w:t xml:space="preserve"> non remplacement des départs </w:t>
      </w:r>
      <w:r w:rsidR="004A420B" w:rsidRPr="00AF11F6">
        <w:rPr>
          <w:rFonts w:ascii="Arial Black" w:hAnsi="Arial Black" w:cs="Calibri"/>
          <w:b/>
          <w:bCs/>
          <w:color w:val="632423"/>
        </w:rPr>
        <w:t xml:space="preserve"> </w:t>
      </w:r>
    </w:p>
    <w:p w:rsidR="004A420B" w:rsidRPr="002436B1" w:rsidRDefault="004A420B" w:rsidP="004A420B">
      <w:pPr>
        <w:jc w:val="center"/>
        <w:rPr>
          <w:rFonts w:ascii="Calibri" w:hAnsi="Calibri" w:cs="Calibri"/>
          <w:b/>
          <w:bCs/>
        </w:rPr>
      </w:pPr>
    </w:p>
    <w:p w:rsidR="004A420B" w:rsidRPr="002436B1" w:rsidRDefault="004A420B" w:rsidP="004A420B">
      <w:pPr>
        <w:jc w:val="center"/>
        <w:rPr>
          <w:rFonts w:ascii="Calibri" w:hAnsi="Calibri" w:cs="Calibri"/>
          <w:b/>
          <w:bCs/>
        </w:rPr>
      </w:pPr>
      <w:r w:rsidRPr="002436B1">
        <w:rPr>
          <w:rFonts w:ascii="Calibri" w:hAnsi="Calibri" w:cs="Calibri"/>
          <w:b/>
          <w:bCs/>
        </w:rPr>
        <w:t>Pourcentage d'établissements ayant pris en 201</w:t>
      </w:r>
      <w:r>
        <w:rPr>
          <w:rFonts w:ascii="Calibri" w:hAnsi="Calibri" w:cs="Calibri"/>
          <w:b/>
          <w:bCs/>
        </w:rPr>
        <w:t>4</w:t>
      </w:r>
      <w:r w:rsidRPr="002436B1">
        <w:rPr>
          <w:rFonts w:ascii="Calibri" w:hAnsi="Calibri" w:cs="Calibri"/>
          <w:b/>
          <w:bCs/>
        </w:rPr>
        <w:t xml:space="preserve"> des mesures de réduction des effectifs (par catégorie d’emploi)</w:t>
      </w:r>
    </w:p>
    <w:p w:rsidR="004A420B" w:rsidRDefault="004A420B" w:rsidP="004A420B">
      <w:pPr>
        <w:rPr>
          <w:rFonts w:ascii="Calibri" w:hAnsi="Calibri" w:cs="Calibri"/>
        </w:rPr>
      </w:pPr>
    </w:p>
    <w:p w:rsidR="004A420B" w:rsidRDefault="004A420B" w:rsidP="004A420B">
      <w:pPr>
        <w:rPr>
          <w:rFonts w:ascii="Calibri" w:hAnsi="Calibri" w:cs="Calibri"/>
          <w:i/>
          <w:iCs/>
        </w:rPr>
      </w:pPr>
      <w:r>
        <w:rPr>
          <w:rFonts w:ascii="Calibri" w:hAnsi="Calibri" w:cs="Calibri"/>
          <w:i/>
          <w:iCs/>
        </w:rPr>
        <w:t xml:space="preserve">                                                     </w:t>
      </w:r>
      <w:r w:rsidR="00A56B21">
        <w:rPr>
          <w:rFonts w:ascii="Calibri" w:hAnsi="Calibri" w:cs="Calibri"/>
          <w:i/>
          <w:iCs/>
        </w:rPr>
        <w:t xml:space="preserve">           </w:t>
      </w:r>
      <w:r>
        <w:rPr>
          <w:rFonts w:ascii="Calibri" w:hAnsi="Calibri" w:cs="Calibri"/>
          <w:i/>
          <w:iCs/>
        </w:rPr>
        <w:t xml:space="preserve">   </w:t>
      </w:r>
      <w:r w:rsidRPr="002436B1">
        <w:rPr>
          <w:rFonts w:ascii="Calibri" w:hAnsi="Calibri" w:cs="Calibri"/>
          <w:i/>
          <w:iCs/>
        </w:rPr>
        <w:t xml:space="preserve">Etablissements de 100 salariés et plus </w:t>
      </w:r>
      <w:r>
        <w:rPr>
          <w:rFonts w:ascii="Calibri" w:hAnsi="Calibri" w:cs="Calibri"/>
          <w:i/>
          <w:iCs/>
        </w:rPr>
        <w:t xml:space="preserve">                                         </w:t>
      </w:r>
      <w:r w:rsidRPr="006A4F4E">
        <w:rPr>
          <w:rFonts w:ascii="Calibri" w:hAnsi="Calibri" w:cs="Calibri"/>
          <w:i/>
          <w:iCs/>
        </w:rPr>
        <w:t>Etablissements de 50 à 99 salariés</w:t>
      </w:r>
    </w:p>
    <w:p w:rsidR="004A420B" w:rsidRPr="00D4418B" w:rsidRDefault="004A420B" w:rsidP="004A420B">
      <w:pPr>
        <w:rPr>
          <w:rFonts w:ascii="Calibri" w:hAnsi="Calibri" w:cs="Calibri"/>
          <w:i/>
          <w:iCs/>
          <w:sz w:val="16"/>
          <w:szCs w:val="16"/>
        </w:rPr>
      </w:pPr>
    </w:p>
    <w:tbl>
      <w:tblPr>
        <w:tblStyle w:val="Listemoyenne1-Accent2"/>
        <w:tblW w:w="14850" w:type="dxa"/>
        <w:tblLayout w:type="fixed"/>
        <w:tblLook w:val="04A0" w:firstRow="1" w:lastRow="0" w:firstColumn="1" w:lastColumn="0" w:noHBand="0" w:noVBand="1"/>
      </w:tblPr>
      <w:tblGrid>
        <w:gridCol w:w="3510"/>
        <w:gridCol w:w="1276"/>
        <w:gridCol w:w="1838"/>
        <w:gridCol w:w="1280"/>
        <w:gridCol w:w="1134"/>
        <w:gridCol w:w="314"/>
        <w:gridCol w:w="1245"/>
        <w:gridCol w:w="1837"/>
        <w:gridCol w:w="1140"/>
        <w:gridCol w:w="1276"/>
      </w:tblGrid>
      <w:tr w:rsidR="004A420B" w:rsidRPr="00F501C6" w:rsidTr="00DB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C0504D" w:themeColor="accent2"/>
            </w:tcBorders>
          </w:tcPr>
          <w:p w:rsidR="004A420B" w:rsidRPr="00F501C6" w:rsidRDefault="004A420B" w:rsidP="00DB7191">
            <w:pPr>
              <w:rPr>
                <w:rFonts w:ascii="Calibri" w:hAnsi="Calibri" w:cs="Calibri"/>
                <w:b w:val="0"/>
                <w:bCs w:val="0"/>
                <w:sz w:val="20"/>
                <w:szCs w:val="20"/>
              </w:rPr>
            </w:pPr>
          </w:p>
        </w:tc>
        <w:tc>
          <w:tcPr>
            <w:tcW w:w="1276"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Cadres</w:t>
            </w:r>
          </w:p>
        </w:tc>
        <w:tc>
          <w:tcPr>
            <w:tcW w:w="1838"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Techniciens/Agents</w:t>
            </w:r>
          </w:p>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 xml:space="preserve"> de maîtrise</w:t>
            </w:r>
          </w:p>
        </w:tc>
        <w:tc>
          <w:tcPr>
            <w:tcW w:w="1280"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Opérateurs</w:t>
            </w:r>
          </w:p>
        </w:tc>
        <w:tc>
          <w:tcPr>
            <w:tcW w:w="1134"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Total</w:t>
            </w:r>
          </w:p>
        </w:tc>
        <w:tc>
          <w:tcPr>
            <w:tcW w:w="314" w:type="dxa"/>
            <w:tcBorders>
              <w:bottom w:val="nil"/>
            </w:tcBorders>
            <w:shd w:val="clear" w:color="auto" w:fill="auto"/>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1245"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Cadres</w:t>
            </w:r>
          </w:p>
        </w:tc>
        <w:tc>
          <w:tcPr>
            <w:tcW w:w="1837"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Techniciens/Agents de maîtrise</w:t>
            </w:r>
          </w:p>
        </w:tc>
        <w:tc>
          <w:tcPr>
            <w:tcW w:w="1140"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Opérateurs</w:t>
            </w:r>
          </w:p>
        </w:tc>
        <w:tc>
          <w:tcPr>
            <w:tcW w:w="1276" w:type="dxa"/>
            <w:tcBorders>
              <w:top w:val="single" w:sz="8" w:space="0" w:color="C0504D" w:themeColor="accent2"/>
            </w:tcBorders>
          </w:tcPr>
          <w:p w:rsidR="004A420B" w:rsidRPr="00F501C6" w:rsidRDefault="004A420B" w:rsidP="00DB719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F501C6">
              <w:rPr>
                <w:rFonts w:ascii="Calibri" w:hAnsi="Calibri" w:cs="Calibri"/>
                <w:bCs/>
                <w:sz w:val="20"/>
                <w:szCs w:val="20"/>
              </w:rPr>
              <w:t>Total</w:t>
            </w:r>
          </w:p>
        </w:tc>
      </w:tr>
      <w:tr w:rsidR="004A420B" w:rsidRPr="00F501C6" w:rsidTr="00DB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A420B" w:rsidRPr="00F501C6" w:rsidRDefault="004A420B" w:rsidP="00DB7191">
            <w:pPr>
              <w:rPr>
                <w:rFonts w:ascii="Calibri" w:hAnsi="Calibri" w:cs="Calibri"/>
                <w:b w:val="0"/>
                <w:bCs w:val="0"/>
                <w:sz w:val="20"/>
                <w:szCs w:val="20"/>
              </w:rPr>
            </w:pPr>
            <w:r w:rsidRPr="00F501C6">
              <w:rPr>
                <w:rFonts w:ascii="Calibri" w:hAnsi="Calibri" w:cs="Calibri"/>
                <w:b w:val="0"/>
                <w:bCs w:val="0"/>
                <w:sz w:val="20"/>
                <w:szCs w:val="20"/>
              </w:rPr>
              <w:t xml:space="preserve">Licenciements économiques </w:t>
            </w:r>
          </w:p>
        </w:tc>
        <w:tc>
          <w:tcPr>
            <w:tcW w:w="1276"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c>
          <w:tcPr>
            <w:tcW w:w="1838"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280"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c>
          <w:tcPr>
            <w:tcW w:w="1134"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314" w:type="dxa"/>
            <w:tcBorders>
              <w:top w:val="nil"/>
              <w:bottom w:val="nil"/>
            </w:tcBorders>
            <w:shd w:val="clear" w:color="auto" w:fill="auto"/>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245"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w:t>
            </w:r>
          </w:p>
        </w:tc>
        <w:tc>
          <w:tcPr>
            <w:tcW w:w="1837"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1140"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276"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w:t>
            </w:r>
          </w:p>
        </w:tc>
      </w:tr>
      <w:tr w:rsidR="004A420B" w:rsidRPr="00F501C6" w:rsidTr="00DB7191">
        <w:tc>
          <w:tcPr>
            <w:cnfStyle w:val="001000000000" w:firstRow="0" w:lastRow="0" w:firstColumn="1" w:lastColumn="0" w:oddVBand="0" w:evenVBand="0" w:oddHBand="0" w:evenHBand="0" w:firstRowFirstColumn="0" w:firstRowLastColumn="0" w:lastRowFirstColumn="0" w:lastRowLastColumn="0"/>
            <w:tcW w:w="3510" w:type="dxa"/>
          </w:tcPr>
          <w:p w:rsidR="004A420B" w:rsidRPr="00F501C6" w:rsidRDefault="004A420B" w:rsidP="00DB7191">
            <w:pPr>
              <w:rPr>
                <w:rFonts w:ascii="Calibri" w:hAnsi="Calibri" w:cs="Calibri"/>
                <w:b w:val="0"/>
                <w:bCs w:val="0"/>
                <w:sz w:val="20"/>
                <w:szCs w:val="20"/>
              </w:rPr>
            </w:pPr>
            <w:r w:rsidRPr="00F501C6">
              <w:rPr>
                <w:rFonts w:ascii="Calibri" w:hAnsi="Calibri" w:cs="Calibri"/>
                <w:b w:val="0"/>
                <w:bCs w:val="0"/>
                <w:sz w:val="20"/>
                <w:szCs w:val="20"/>
              </w:rPr>
              <w:t>Chômage technique / partiel</w:t>
            </w:r>
          </w:p>
        </w:tc>
        <w:tc>
          <w:tcPr>
            <w:tcW w:w="1276"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c>
          <w:tcPr>
            <w:tcW w:w="1838"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280"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134"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314" w:type="dxa"/>
            <w:tcBorders>
              <w:top w:val="nil"/>
              <w:bottom w:val="nil"/>
            </w:tcBorders>
            <w:shd w:val="clear" w:color="auto" w:fill="auto"/>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1245"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0%</w:t>
            </w:r>
          </w:p>
        </w:tc>
        <w:tc>
          <w:tcPr>
            <w:tcW w:w="1837"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0%</w:t>
            </w:r>
          </w:p>
        </w:tc>
        <w:tc>
          <w:tcPr>
            <w:tcW w:w="1140"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0%</w:t>
            </w:r>
          </w:p>
        </w:tc>
        <w:tc>
          <w:tcPr>
            <w:tcW w:w="1276" w:type="dxa"/>
            <w:vAlign w:val="bottom"/>
          </w:tcPr>
          <w:p w:rsidR="004A420B" w:rsidRPr="00183195" w:rsidRDefault="004A420B"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0%</w:t>
            </w:r>
          </w:p>
        </w:tc>
      </w:tr>
      <w:tr w:rsidR="004A420B" w:rsidRPr="00F501C6" w:rsidTr="00DB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A420B" w:rsidRPr="00F501C6" w:rsidRDefault="004A420B" w:rsidP="00DB7191">
            <w:pPr>
              <w:rPr>
                <w:rFonts w:ascii="Calibri" w:hAnsi="Calibri" w:cs="Calibri"/>
                <w:b w:val="0"/>
                <w:bCs w:val="0"/>
                <w:sz w:val="20"/>
                <w:szCs w:val="20"/>
              </w:rPr>
            </w:pPr>
            <w:r w:rsidRPr="00F501C6">
              <w:rPr>
                <w:rFonts w:ascii="Calibri" w:hAnsi="Calibri" w:cs="Calibri"/>
                <w:b w:val="0"/>
                <w:bCs w:val="0"/>
                <w:sz w:val="20"/>
                <w:szCs w:val="20"/>
              </w:rPr>
              <w:t>Mises en congés ou en JRTT</w:t>
            </w:r>
          </w:p>
        </w:tc>
        <w:tc>
          <w:tcPr>
            <w:tcW w:w="1276"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c>
          <w:tcPr>
            <w:tcW w:w="1838"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280"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1134"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314" w:type="dxa"/>
            <w:tcBorders>
              <w:top w:val="nil"/>
              <w:bottom w:val="nil"/>
            </w:tcBorders>
            <w:shd w:val="clear" w:color="auto" w:fill="auto"/>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245"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0%</w:t>
            </w:r>
          </w:p>
        </w:tc>
        <w:tc>
          <w:tcPr>
            <w:tcW w:w="1837"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0%</w:t>
            </w:r>
          </w:p>
        </w:tc>
        <w:tc>
          <w:tcPr>
            <w:tcW w:w="1140"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c>
          <w:tcPr>
            <w:tcW w:w="1276"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r>
      <w:tr w:rsidR="004A420B" w:rsidRPr="00F501C6" w:rsidTr="00306147">
        <w:tc>
          <w:tcPr>
            <w:cnfStyle w:val="001000000000" w:firstRow="0" w:lastRow="0" w:firstColumn="1" w:lastColumn="0" w:oddVBand="0" w:evenVBand="0" w:oddHBand="0" w:evenHBand="0" w:firstRowFirstColumn="0" w:firstRowLastColumn="0" w:lastRowFirstColumn="0" w:lastRowLastColumn="0"/>
            <w:tcW w:w="3510" w:type="dxa"/>
          </w:tcPr>
          <w:p w:rsidR="004A420B" w:rsidRPr="00F501C6" w:rsidRDefault="004A420B" w:rsidP="00DB7191">
            <w:pPr>
              <w:rPr>
                <w:rFonts w:ascii="Calibri" w:hAnsi="Calibri" w:cs="Calibri"/>
                <w:b w:val="0"/>
                <w:bCs w:val="0"/>
                <w:sz w:val="20"/>
                <w:szCs w:val="20"/>
              </w:rPr>
            </w:pPr>
            <w:r>
              <w:rPr>
                <w:rFonts w:ascii="Calibri" w:hAnsi="Calibri" w:cs="Calibri"/>
                <w:b w:val="0"/>
                <w:bCs w:val="0"/>
                <w:sz w:val="20"/>
                <w:szCs w:val="20"/>
              </w:rPr>
              <w:t>Non remplacement</w:t>
            </w:r>
            <w:r w:rsidRPr="00F501C6">
              <w:rPr>
                <w:rFonts w:ascii="Calibri" w:hAnsi="Calibri" w:cs="Calibri"/>
                <w:b w:val="0"/>
                <w:bCs w:val="0"/>
                <w:sz w:val="20"/>
                <w:szCs w:val="20"/>
              </w:rPr>
              <w:t xml:space="preserve"> des départs en fin de carrière</w:t>
            </w:r>
          </w:p>
        </w:tc>
        <w:tc>
          <w:tcPr>
            <w:tcW w:w="1276"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w:t>
            </w:r>
          </w:p>
        </w:tc>
        <w:tc>
          <w:tcPr>
            <w:tcW w:w="1838"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7%</w:t>
            </w:r>
          </w:p>
        </w:tc>
        <w:tc>
          <w:tcPr>
            <w:tcW w:w="1280"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16%</w:t>
            </w:r>
          </w:p>
        </w:tc>
        <w:tc>
          <w:tcPr>
            <w:tcW w:w="1134"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18%</w:t>
            </w:r>
          </w:p>
        </w:tc>
        <w:tc>
          <w:tcPr>
            <w:tcW w:w="314" w:type="dxa"/>
            <w:tcBorders>
              <w:top w:val="nil"/>
              <w:bottom w:val="nil"/>
            </w:tcBorders>
            <w:shd w:val="clear" w:color="auto" w:fill="auto"/>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1245"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9%</w:t>
            </w:r>
          </w:p>
        </w:tc>
        <w:tc>
          <w:tcPr>
            <w:tcW w:w="1837"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12%</w:t>
            </w:r>
          </w:p>
        </w:tc>
        <w:tc>
          <w:tcPr>
            <w:tcW w:w="1140"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20%</w:t>
            </w:r>
          </w:p>
        </w:tc>
        <w:tc>
          <w:tcPr>
            <w:tcW w:w="1276" w:type="dxa"/>
            <w:vAlign w:val="center"/>
          </w:tcPr>
          <w:p w:rsidR="004A420B" w:rsidRPr="00183195" w:rsidRDefault="004A420B"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22%</w:t>
            </w:r>
          </w:p>
        </w:tc>
      </w:tr>
      <w:tr w:rsidR="004A420B" w:rsidRPr="00F501C6" w:rsidTr="00DB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A420B" w:rsidRPr="00F501C6" w:rsidRDefault="004A420B" w:rsidP="00DB7191">
            <w:pPr>
              <w:rPr>
                <w:rFonts w:ascii="Calibri" w:hAnsi="Calibri" w:cs="Calibri"/>
                <w:b w:val="0"/>
                <w:bCs w:val="0"/>
                <w:sz w:val="20"/>
                <w:szCs w:val="20"/>
              </w:rPr>
            </w:pPr>
            <w:r w:rsidRPr="00F501C6">
              <w:rPr>
                <w:rFonts w:ascii="Calibri" w:hAnsi="Calibri" w:cs="Calibri"/>
                <w:b w:val="0"/>
                <w:bCs w:val="0"/>
                <w:sz w:val="20"/>
                <w:szCs w:val="20"/>
              </w:rPr>
              <w:t>Non remplacement des autres départs</w:t>
            </w:r>
          </w:p>
        </w:tc>
        <w:tc>
          <w:tcPr>
            <w:tcW w:w="1276"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1838"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w:t>
            </w:r>
          </w:p>
        </w:tc>
        <w:tc>
          <w:tcPr>
            <w:tcW w:w="1280"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13%</w:t>
            </w:r>
          </w:p>
        </w:tc>
        <w:tc>
          <w:tcPr>
            <w:tcW w:w="1134"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15%</w:t>
            </w:r>
          </w:p>
        </w:tc>
        <w:tc>
          <w:tcPr>
            <w:tcW w:w="314" w:type="dxa"/>
            <w:tcBorders>
              <w:top w:val="nil"/>
              <w:bottom w:val="nil"/>
            </w:tcBorders>
            <w:shd w:val="clear" w:color="auto" w:fill="auto"/>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245"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9%</w:t>
            </w:r>
          </w:p>
        </w:tc>
        <w:tc>
          <w:tcPr>
            <w:tcW w:w="1837"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12%</w:t>
            </w:r>
          </w:p>
        </w:tc>
        <w:tc>
          <w:tcPr>
            <w:tcW w:w="1140"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18%</w:t>
            </w:r>
          </w:p>
        </w:tc>
        <w:tc>
          <w:tcPr>
            <w:tcW w:w="1276" w:type="dxa"/>
            <w:vAlign w:val="bottom"/>
          </w:tcPr>
          <w:p w:rsidR="004A420B" w:rsidRPr="00183195" w:rsidRDefault="004A420B"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19%</w:t>
            </w:r>
          </w:p>
        </w:tc>
      </w:tr>
    </w:tbl>
    <w:p w:rsidR="004A420B" w:rsidRDefault="004A420B" w:rsidP="004A420B">
      <w:pPr>
        <w:jc w:val="both"/>
        <w:rPr>
          <w:rFonts w:ascii="Calibri" w:hAnsi="Calibri" w:cs="Calibri"/>
        </w:rPr>
      </w:pPr>
    </w:p>
    <w:p w:rsidR="004A420B" w:rsidRPr="002436B1" w:rsidRDefault="00CE7089" w:rsidP="004A420B">
      <w:pPr>
        <w:jc w:val="both"/>
        <w:rPr>
          <w:rFonts w:ascii="Calibri" w:hAnsi="Calibri" w:cs="Calibri"/>
        </w:rPr>
      </w:pPr>
      <w:r>
        <w:rPr>
          <w:rFonts w:ascii="Calibri" w:hAnsi="Calibri" w:cs="Calibri"/>
        </w:rPr>
        <w:t xml:space="preserve">Le non </w:t>
      </w:r>
      <w:r w:rsidR="004A420B">
        <w:rPr>
          <w:rFonts w:ascii="Calibri" w:hAnsi="Calibri" w:cs="Calibri"/>
        </w:rPr>
        <w:t xml:space="preserve">remplacement des </w:t>
      </w:r>
      <w:r>
        <w:rPr>
          <w:rFonts w:ascii="Calibri" w:hAnsi="Calibri" w:cs="Calibri"/>
        </w:rPr>
        <w:t xml:space="preserve">départs </w:t>
      </w:r>
      <w:r w:rsidR="00BE6FFB">
        <w:rPr>
          <w:rFonts w:ascii="Calibri" w:hAnsi="Calibri" w:cs="Calibri"/>
        </w:rPr>
        <w:t>a été</w:t>
      </w:r>
      <w:r>
        <w:rPr>
          <w:rFonts w:ascii="Calibri" w:hAnsi="Calibri" w:cs="Calibri"/>
        </w:rPr>
        <w:t xml:space="preserve"> la mesure largement la plus fréquente en 2014 pour réduire les effectifs, qu’il s’agisse de départs à la retraite ou autre. Ainsi, 22% des établissements de 50 à 99 salariés n’auraient pas remplacé des départs de fin de carrière, et 19% n’auraient pas re</w:t>
      </w:r>
      <w:r w:rsidR="008149A7">
        <w:rPr>
          <w:rFonts w:ascii="Calibri" w:hAnsi="Calibri" w:cs="Calibri"/>
        </w:rPr>
        <w:t>m</w:t>
      </w:r>
      <w:r>
        <w:rPr>
          <w:rFonts w:ascii="Calibri" w:hAnsi="Calibri" w:cs="Calibri"/>
        </w:rPr>
        <w:t>placé les autres départs (démissions, fin de CDD, ruptures conventionnelles…).</w:t>
      </w:r>
    </w:p>
    <w:p w:rsidR="004A420B" w:rsidRPr="002436B1" w:rsidRDefault="004A420B" w:rsidP="004A420B">
      <w:pPr>
        <w:jc w:val="center"/>
        <w:rPr>
          <w:rFonts w:ascii="Calibri" w:hAnsi="Calibri" w:cs="Calibri"/>
          <w:b/>
          <w:bCs/>
        </w:rPr>
      </w:pPr>
    </w:p>
    <w:p w:rsidR="00442B2A" w:rsidRDefault="00442B2A">
      <w:pPr>
        <w:rPr>
          <w:rFonts w:ascii="Arial Black" w:hAnsi="Arial Black" w:cs="Calibri"/>
          <w:b/>
          <w:bCs/>
          <w:color w:val="632423"/>
        </w:rPr>
      </w:pPr>
    </w:p>
    <w:p w:rsidR="002B1371" w:rsidRPr="00D045A6" w:rsidRDefault="00123AF6" w:rsidP="002B1371">
      <w:pPr>
        <w:rPr>
          <w:rFonts w:ascii="Arial Black" w:hAnsi="Arial Black" w:cs="Calibri"/>
          <w:b/>
          <w:bCs/>
          <w:color w:val="632423"/>
        </w:rPr>
      </w:pPr>
      <w:r>
        <w:rPr>
          <w:rFonts w:ascii="Arial Black" w:hAnsi="Arial Black" w:cs="Calibri"/>
          <w:b/>
          <w:bCs/>
          <w:color w:val="632423"/>
        </w:rPr>
        <w:t>Le nombre</w:t>
      </w:r>
      <w:r w:rsidR="00402792">
        <w:rPr>
          <w:rFonts w:ascii="Arial Black" w:hAnsi="Arial Black" w:cs="Calibri"/>
          <w:b/>
          <w:bCs/>
          <w:color w:val="632423"/>
        </w:rPr>
        <w:t xml:space="preserve"> d’établissements ayant recours </w:t>
      </w:r>
      <w:r w:rsidR="002B1371" w:rsidRPr="00D045A6">
        <w:rPr>
          <w:rFonts w:ascii="Arial Black" w:hAnsi="Arial Black" w:cs="Calibri"/>
          <w:b/>
          <w:bCs/>
          <w:color w:val="632423"/>
        </w:rPr>
        <w:t xml:space="preserve">aux heures supplémentaires </w:t>
      </w:r>
      <w:r w:rsidR="008A2986">
        <w:rPr>
          <w:rFonts w:ascii="Arial Black" w:hAnsi="Arial Black" w:cs="Calibri"/>
          <w:b/>
          <w:bCs/>
          <w:color w:val="632423"/>
        </w:rPr>
        <w:t>s’</w:t>
      </w:r>
      <w:r>
        <w:rPr>
          <w:rFonts w:ascii="Arial Black" w:hAnsi="Arial Black" w:cs="Calibri"/>
          <w:b/>
          <w:bCs/>
          <w:color w:val="632423"/>
        </w:rPr>
        <w:t>est accru</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ayant eu recours aux heures supplémentaires en 201</w:t>
      </w:r>
      <w:r w:rsidR="00396D54">
        <w:rPr>
          <w:rFonts w:ascii="Calibri" w:hAnsi="Calibri" w:cs="Calibri"/>
          <w:b/>
          <w:bCs/>
        </w:rPr>
        <w:t>4</w:t>
      </w:r>
      <w:r w:rsidRPr="002436B1">
        <w:rPr>
          <w:rFonts w:ascii="Calibri" w:hAnsi="Calibri" w:cs="Calibri"/>
          <w:b/>
          <w:bCs/>
        </w:rPr>
        <w:t xml:space="preserve"> pour des salariés de la logistique par catégorie d’emploi</w:t>
      </w:r>
    </w:p>
    <w:p w:rsidR="002B1371" w:rsidRPr="002436B1" w:rsidRDefault="002B1371" w:rsidP="002B1371">
      <w:pPr>
        <w:jc w:val="center"/>
        <w:rPr>
          <w:rFonts w:ascii="Calibri" w:hAnsi="Calibri" w:cs="Calibri"/>
          <w:b/>
          <w:bCs/>
          <w:sz w:val="16"/>
          <w:szCs w:val="16"/>
        </w:rPr>
      </w:pPr>
    </w:p>
    <w:p w:rsidR="002B1371" w:rsidRPr="002436B1" w:rsidRDefault="00123AF6" w:rsidP="002B1371">
      <w:pPr>
        <w:rPr>
          <w:rFonts w:ascii="Calibri" w:hAnsi="Calibri" w:cs="Calibri"/>
          <w:bCs/>
          <w:color w:val="800000"/>
          <w:sz w:val="28"/>
          <w:szCs w:val="28"/>
        </w:rPr>
      </w:pPr>
      <w:r>
        <w:rPr>
          <w:rFonts w:ascii="Calibri" w:hAnsi="Calibri" w:cs="Calibri"/>
          <w:i/>
          <w:iCs/>
        </w:rPr>
        <w:t xml:space="preserve">     </w:t>
      </w:r>
      <w:r w:rsidR="002B1371" w:rsidRPr="002436B1">
        <w:rPr>
          <w:rFonts w:ascii="Calibri" w:hAnsi="Calibri" w:cs="Calibri"/>
          <w:i/>
          <w:iCs/>
        </w:rPr>
        <w:t>Etablissements de 100 salariés et plus</w:t>
      </w:r>
      <w:r>
        <w:rPr>
          <w:rFonts w:ascii="Calibri" w:hAnsi="Calibri" w:cs="Calibri"/>
          <w:i/>
          <w:iCs/>
        </w:rPr>
        <w:tab/>
        <w:t xml:space="preserve">                </w:t>
      </w:r>
      <w:r w:rsidR="00303F0E">
        <w:rPr>
          <w:rFonts w:ascii="Calibri" w:hAnsi="Calibri" w:cs="Calibri"/>
          <w:i/>
          <w:iCs/>
        </w:rPr>
        <w:t xml:space="preserve">   </w:t>
      </w:r>
      <w:r w:rsidR="00303F0E" w:rsidRPr="002436B1">
        <w:rPr>
          <w:rFonts w:ascii="Calibri" w:hAnsi="Calibri" w:cs="Calibri"/>
          <w:i/>
          <w:iCs/>
        </w:rPr>
        <w:t>Etablissements de 50 à 99 salariés</w:t>
      </w:r>
    </w:p>
    <w:tbl>
      <w:tblPr>
        <w:tblStyle w:val="Listemoyenne1-Accent4"/>
        <w:tblW w:w="2518" w:type="pct"/>
        <w:tblLook w:val="04A0" w:firstRow="1" w:lastRow="0" w:firstColumn="1" w:lastColumn="0" w:noHBand="0" w:noVBand="1"/>
      </w:tblPr>
      <w:tblGrid>
        <w:gridCol w:w="3207"/>
        <w:gridCol w:w="988"/>
        <w:gridCol w:w="980"/>
        <w:gridCol w:w="464"/>
        <w:gridCol w:w="980"/>
        <w:gridCol w:w="970"/>
      </w:tblGrid>
      <w:tr w:rsidR="001A2190" w:rsidRPr="00E14106" w:rsidTr="001A219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12" w:type="pct"/>
            <w:tcBorders>
              <w:top w:val="single" w:sz="8" w:space="0" w:color="7C567C"/>
              <w:bottom w:val="single" w:sz="8" w:space="0" w:color="7C567C"/>
            </w:tcBorders>
            <w:noWrap/>
          </w:tcPr>
          <w:p w:rsidR="001A2190" w:rsidRPr="00E14106" w:rsidRDefault="001A2190" w:rsidP="00F3284E">
            <w:pPr>
              <w:rPr>
                <w:rFonts w:ascii="Calibri" w:hAnsi="Calibri" w:cs="Calibri"/>
                <w:b w:val="0"/>
                <w:bCs w:val="0"/>
                <w:sz w:val="22"/>
              </w:rPr>
            </w:pPr>
          </w:p>
        </w:tc>
        <w:tc>
          <w:tcPr>
            <w:tcW w:w="651" w:type="pct"/>
            <w:tcBorders>
              <w:top w:val="single" w:sz="8" w:space="0" w:color="7C567C"/>
              <w:bottom w:val="single" w:sz="8" w:space="0" w:color="7C567C"/>
            </w:tcBorders>
            <w:noWrap/>
          </w:tcPr>
          <w:p w:rsidR="001A2190" w:rsidRPr="00E14106" w:rsidRDefault="001A2190" w:rsidP="0030614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rPr>
            </w:pPr>
            <w:r>
              <w:rPr>
                <w:rFonts w:ascii="Calibri" w:hAnsi="Calibri" w:cs="Calibri"/>
                <w:bCs/>
                <w:sz w:val="22"/>
              </w:rPr>
              <w:t>2013</w:t>
            </w:r>
          </w:p>
        </w:tc>
        <w:tc>
          <w:tcPr>
            <w:tcW w:w="646" w:type="pct"/>
            <w:tcBorders>
              <w:top w:val="single" w:sz="8" w:space="0" w:color="7C567C"/>
              <w:bottom w:val="single" w:sz="8" w:space="0" w:color="7C567C"/>
            </w:tcBorders>
            <w:noWrap/>
          </w:tcPr>
          <w:p w:rsidR="001A2190" w:rsidRPr="00E14106" w:rsidRDefault="001A2190" w:rsidP="0030614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rPr>
            </w:pPr>
            <w:r>
              <w:rPr>
                <w:rFonts w:ascii="Calibri" w:hAnsi="Calibri" w:cs="Calibri"/>
                <w:bCs/>
                <w:sz w:val="22"/>
              </w:rPr>
              <w:t>2014</w:t>
            </w:r>
          </w:p>
        </w:tc>
        <w:tc>
          <w:tcPr>
            <w:tcW w:w="306" w:type="pct"/>
            <w:tcBorders>
              <w:bottom w:val="nil"/>
            </w:tcBorders>
            <w:shd w:val="clear" w:color="auto" w:fill="auto"/>
          </w:tcPr>
          <w:p w:rsidR="001A2190" w:rsidRPr="00E14106" w:rsidRDefault="001A2190" w:rsidP="0030614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rPr>
            </w:pPr>
          </w:p>
        </w:tc>
        <w:tc>
          <w:tcPr>
            <w:tcW w:w="646" w:type="pct"/>
            <w:tcBorders>
              <w:top w:val="single" w:sz="8" w:space="0" w:color="7C567C"/>
              <w:bottom w:val="single" w:sz="8" w:space="0" w:color="7C567C"/>
            </w:tcBorders>
          </w:tcPr>
          <w:p w:rsidR="001A2190" w:rsidRPr="00E14106" w:rsidRDefault="001A2190" w:rsidP="0030614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rPr>
            </w:pPr>
            <w:r>
              <w:rPr>
                <w:rFonts w:ascii="Calibri" w:hAnsi="Calibri" w:cs="Calibri"/>
                <w:bCs/>
                <w:sz w:val="22"/>
              </w:rPr>
              <w:t>2013</w:t>
            </w:r>
          </w:p>
        </w:tc>
        <w:tc>
          <w:tcPr>
            <w:tcW w:w="640" w:type="pct"/>
            <w:tcBorders>
              <w:top w:val="single" w:sz="8" w:space="0" w:color="7C567C"/>
              <w:bottom w:val="single" w:sz="8" w:space="0" w:color="7C567C"/>
            </w:tcBorders>
          </w:tcPr>
          <w:p w:rsidR="001A2190" w:rsidRPr="00E14106" w:rsidRDefault="001A2190" w:rsidP="0030614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rPr>
            </w:pPr>
            <w:r>
              <w:rPr>
                <w:rFonts w:ascii="Calibri" w:hAnsi="Calibri" w:cs="Calibri"/>
                <w:bCs/>
                <w:sz w:val="22"/>
              </w:rPr>
              <w:t>2014</w:t>
            </w:r>
          </w:p>
        </w:tc>
      </w:tr>
      <w:tr w:rsidR="001A2190" w:rsidRPr="00C53078" w:rsidTr="001A219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12" w:type="pct"/>
            <w:tcBorders>
              <w:top w:val="single" w:sz="8" w:space="0" w:color="7C567C"/>
            </w:tcBorders>
            <w:noWrap/>
          </w:tcPr>
          <w:p w:rsidR="001A2190" w:rsidRPr="00C53078" w:rsidRDefault="001A2190" w:rsidP="00F3284E">
            <w:pPr>
              <w:rPr>
                <w:rFonts w:ascii="Calibri" w:hAnsi="Calibri" w:cs="Calibri"/>
                <w:b w:val="0"/>
                <w:bCs w:val="0"/>
                <w:sz w:val="22"/>
              </w:rPr>
            </w:pPr>
            <w:r w:rsidRPr="00C53078">
              <w:rPr>
                <w:rFonts w:ascii="Calibri" w:hAnsi="Calibri" w:cs="Calibri"/>
                <w:b w:val="0"/>
                <w:bCs w:val="0"/>
                <w:sz w:val="22"/>
              </w:rPr>
              <w:t>Cadres</w:t>
            </w:r>
          </w:p>
        </w:tc>
        <w:tc>
          <w:tcPr>
            <w:tcW w:w="651" w:type="pct"/>
            <w:tcBorders>
              <w:top w:val="single" w:sz="8" w:space="0" w:color="7C567C"/>
            </w:tcBorders>
            <w:noWrap/>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9%</w:t>
            </w:r>
          </w:p>
        </w:tc>
        <w:tc>
          <w:tcPr>
            <w:tcW w:w="646" w:type="pct"/>
            <w:tcBorders>
              <w:top w:val="single" w:sz="8" w:space="0" w:color="7C567C"/>
            </w:tcBorders>
            <w:noWrap/>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16%</w:t>
            </w:r>
          </w:p>
        </w:tc>
        <w:tc>
          <w:tcPr>
            <w:tcW w:w="306" w:type="pct"/>
            <w:tcBorders>
              <w:top w:val="nil"/>
              <w:bottom w:val="nil"/>
            </w:tcBorders>
            <w:shd w:val="clear" w:color="auto" w:fill="auto"/>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646" w:type="pct"/>
            <w:tcBorders>
              <w:top w:val="single" w:sz="8" w:space="0" w:color="7C567C"/>
            </w:tcBorders>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640" w:type="pct"/>
            <w:tcBorders>
              <w:top w:val="single" w:sz="8" w:space="0" w:color="7C567C"/>
            </w:tcBorders>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19%</w:t>
            </w:r>
          </w:p>
        </w:tc>
      </w:tr>
      <w:tr w:rsidR="001A2190" w:rsidRPr="00C53078" w:rsidTr="001A2190">
        <w:trPr>
          <w:trHeight w:val="225"/>
        </w:trPr>
        <w:tc>
          <w:tcPr>
            <w:cnfStyle w:val="001000000000" w:firstRow="0" w:lastRow="0" w:firstColumn="1" w:lastColumn="0" w:oddVBand="0" w:evenVBand="0" w:oddHBand="0" w:evenHBand="0" w:firstRowFirstColumn="0" w:firstRowLastColumn="0" w:lastRowFirstColumn="0" w:lastRowLastColumn="0"/>
            <w:tcW w:w="2112" w:type="pct"/>
            <w:noWrap/>
          </w:tcPr>
          <w:p w:rsidR="001A2190" w:rsidRPr="00C53078" w:rsidRDefault="001A2190" w:rsidP="00F3284E">
            <w:pPr>
              <w:rPr>
                <w:rFonts w:ascii="Calibri" w:hAnsi="Calibri" w:cs="Calibri"/>
                <w:b w:val="0"/>
                <w:bCs w:val="0"/>
                <w:sz w:val="22"/>
              </w:rPr>
            </w:pPr>
            <w:r w:rsidRPr="00C53078">
              <w:rPr>
                <w:rFonts w:ascii="Calibri" w:hAnsi="Calibri" w:cs="Calibri"/>
                <w:b w:val="0"/>
                <w:bCs w:val="0"/>
                <w:sz w:val="22"/>
              </w:rPr>
              <w:t>Techniciens/</w:t>
            </w:r>
            <w:r>
              <w:rPr>
                <w:rFonts w:ascii="Calibri" w:hAnsi="Calibri" w:cs="Calibri"/>
                <w:b w:val="0"/>
                <w:bCs w:val="0"/>
                <w:sz w:val="22"/>
              </w:rPr>
              <w:t xml:space="preserve">Agents de </w:t>
            </w:r>
            <w:r w:rsidRPr="00C53078">
              <w:rPr>
                <w:rFonts w:ascii="Calibri" w:hAnsi="Calibri" w:cs="Calibri"/>
                <w:b w:val="0"/>
                <w:bCs w:val="0"/>
                <w:sz w:val="22"/>
              </w:rPr>
              <w:t>maîtrise</w:t>
            </w:r>
          </w:p>
        </w:tc>
        <w:tc>
          <w:tcPr>
            <w:tcW w:w="651" w:type="pct"/>
            <w:noWrap/>
            <w:vAlign w:val="bottom"/>
          </w:tcPr>
          <w:p w:rsidR="001A2190" w:rsidRPr="00183195" w:rsidRDefault="001A2190"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25%</w:t>
            </w:r>
          </w:p>
        </w:tc>
        <w:tc>
          <w:tcPr>
            <w:tcW w:w="646" w:type="pct"/>
            <w:noWrap/>
            <w:vAlign w:val="bottom"/>
          </w:tcPr>
          <w:p w:rsidR="001A2190" w:rsidRPr="00183195" w:rsidRDefault="001A2190"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32%</w:t>
            </w:r>
          </w:p>
        </w:tc>
        <w:tc>
          <w:tcPr>
            <w:tcW w:w="306" w:type="pct"/>
            <w:tcBorders>
              <w:top w:val="nil"/>
              <w:bottom w:val="nil"/>
            </w:tcBorders>
            <w:shd w:val="clear" w:color="auto" w:fill="auto"/>
          </w:tcPr>
          <w:p w:rsidR="001A2190" w:rsidRPr="00183195" w:rsidRDefault="001A2190"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646" w:type="pct"/>
            <w:vAlign w:val="bottom"/>
          </w:tcPr>
          <w:p w:rsidR="001A2190" w:rsidRPr="00183195" w:rsidRDefault="001A2190"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19%</w:t>
            </w:r>
          </w:p>
        </w:tc>
        <w:tc>
          <w:tcPr>
            <w:tcW w:w="640" w:type="pct"/>
            <w:vAlign w:val="bottom"/>
          </w:tcPr>
          <w:p w:rsidR="001A2190" w:rsidRPr="00183195" w:rsidRDefault="001A2190"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32%</w:t>
            </w:r>
          </w:p>
        </w:tc>
      </w:tr>
      <w:tr w:rsidR="001A2190" w:rsidRPr="00C53078" w:rsidTr="001A219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12" w:type="pct"/>
            <w:noWrap/>
          </w:tcPr>
          <w:p w:rsidR="001A2190" w:rsidRPr="00C53078" w:rsidRDefault="001A2190" w:rsidP="00F3284E">
            <w:pPr>
              <w:rPr>
                <w:rFonts w:ascii="Calibri" w:hAnsi="Calibri" w:cs="Calibri"/>
                <w:b w:val="0"/>
                <w:bCs w:val="0"/>
                <w:sz w:val="22"/>
              </w:rPr>
            </w:pPr>
            <w:r w:rsidRPr="00C53078">
              <w:rPr>
                <w:rFonts w:ascii="Calibri" w:hAnsi="Calibri" w:cs="Calibri"/>
                <w:b w:val="0"/>
                <w:bCs w:val="0"/>
                <w:sz w:val="22"/>
              </w:rPr>
              <w:t>Opérateurs</w:t>
            </w:r>
          </w:p>
        </w:tc>
        <w:tc>
          <w:tcPr>
            <w:tcW w:w="651" w:type="pct"/>
            <w:noWrap/>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56%</w:t>
            </w:r>
          </w:p>
        </w:tc>
        <w:tc>
          <w:tcPr>
            <w:tcW w:w="646" w:type="pct"/>
            <w:noWrap/>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59%</w:t>
            </w:r>
          </w:p>
        </w:tc>
        <w:tc>
          <w:tcPr>
            <w:tcW w:w="306" w:type="pct"/>
            <w:tcBorders>
              <w:top w:val="nil"/>
              <w:bottom w:val="nil"/>
            </w:tcBorders>
            <w:shd w:val="clear" w:color="auto" w:fill="auto"/>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646" w:type="pct"/>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58%</w:t>
            </w:r>
          </w:p>
        </w:tc>
        <w:tc>
          <w:tcPr>
            <w:tcW w:w="640" w:type="pct"/>
            <w:vAlign w:val="bottom"/>
          </w:tcPr>
          <w:p w:rsidR="001A2190" w:rsidRPr="00183195" w:rsidRDefault="001A2190" w:rsidP="003061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64%</w:t>
            </w:r>
          </w:p>
        </w:tc>
      </w:tr>
      <w:tr w:rsidR="00123AF6" w:rsidRPr="00C53078" w:rsidTr="001A2190">
        <w:trPr>
          <w:trHeight w:val="225"/>
        </w:trPr>
        <w:tc>
          <w:tcPr>
            <w:cnfStyle w:val="001000000000" w:firstRow="0" w:lastRow="0" w:firstColumn="1" w:lastColumn="0" w:oddVBand="0" w:evenVBand="0" w:oddHBand="0" w:evenHBand="0" w:firstRowFirstColumn="0" w:firstRowLastColumn="0" w:lastRowFirstColumn="0" w:lastRowLastColumn="0"/>
            <w:tcW w:w="2112" w:type="pct"/>
            <w:noWrap/>
          </w:tcPr>
          <w:p w:rsidR="00123AF6" w:rsidRPr="00C53078" w:rsidRDefault="00123AF6" w:rsidP="00F3284E">
            <w:pPr>
              <w:rPr>
                <w:rFonts w:ascii="Calibri" w:hAnsi="Calibri" w:cs="Calibri"/>
                <w:b w:val="0"/>
                <w:bCs w:val="0"/>
                <w:sz w:val="22"/>
              </w:rPr>
            </w:pPr>
            <w:r>
              <w:rPr>
                <w:rFonts w:ascii="Calibri" w:hAnsi="Calibri" w:cs="Calibri"/>
                <w:b w:val="0"/>
                <w:bCs w:val="0"/>
                <w:sz w:val="22"/>
              </w:rPr>
              <w:t>TOTAL</w:t>
            </w:r>
          </w:p>
        </w:tc>
        <w:tc>
          <w:tcPr>
            <w:tcW w:w="651" w:type="pct"/>
            <w:noWrap/>
            <w:vAlign w:val="bottom"/>
          </w:tcPr>
          <w:p w:rsidR="00123AF6" w:rsidRPr="00183195" w:rsidRDefault="00123AF6"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58%</w:t>
            </w:r>
          </w:p>
        </w:tc>
        <w:tc>
          <w:tcPr>
            <w:tcW w:w="646" w:type="pct"/>
            <w:noWrap/>
            <w:vAlign w:val="bottom"/>
          </w:tcPr>
          <w:p w:rsidR="00123AF6" w:rsidRPr="00183195" w:rsidRDefault="00123AF6"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63%</w:t>
            </w:r>
          </w:p>
        </w:tc>
        <w:tc>
          <w:tcPr>
            <w:tcW w:w="306" w:type="pct"/>
            <w:tcBorders>
              <w:top w:val="nil"/>
              <w:bottom w:val="nil"/>
            </w:tcBorders>
            <w:shd w:val="clear" w:color="auto" w:fill="auto"/>
          </w:tcPr>
          <w:p w:rsidR="00123AF6" w:rsidRPr="00183195" w:rsidRDefault="00123AF6"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646" w:type="pct"/>
            <w:vAlign w:val="bottom"/>
          </w:tcPr>
          <w:p w:rsidR="00123AF6" w:rsidRPr="00183195" w:rsidRDefault="00123AF6"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59%</w:t>
            </w:r>
          </w:p>
        </w:tc>
        <w:tc>
          <w:tcPr>
            <w:tcW w:w="640" w:type="pct"/>
            <w:vAlign w:val="bottom"/>
          </w:tcPr>
          <w:p w:rsidR="00123AF6" w:rsidRPr="00183195" w:rsidRDefault="00123AF6" w:rsidP="003061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64%</w:t>
            </w:r>
          </w:p>
        </w:tc>
      </w:tr>
    </w:tbl>
    <w:p w:rsidR="002B1371" w:rsidRPr="002436B1" w:rsidRDefault="002B1371" w:rsidP="002B1371">
      <w:pPr>
        <w:rPr>
          <w:rFonts w:ascii="Calibri" w:hAnsi="Calibri" w:cs="Calibri"/>
          <w:bCs/>
          <w:color w:val="800000"/>
          <w:sz w:val="16"/>
          <w:szCs w:val="16"/>
        </w:rPr>
      </w:pPr>
    </w:p>
    <w:p w:rsidR="002B1371" w:rsidRDefault="002B1371" w:rsidP="002B1371">
      <w:pPr>
        <w:jc w:val="both"/>
        <w:rPr>
          <w:rFonts w:ascii="Calibri" w:hAnsi="Calibri" w:cs="Calibri"/>
        </w:rPr>
      </w:pPr>
    </w:p>
    <w:p w:rsidR="00123AF6" w:rsidRDefault="001A2190" w:rsidP="002B1371">
      <w:pPr>
        <w:jc w:val="both"/>
        <w:rPr>
          <w:rFonts w:ascii="Calibri" w:hAnsi="Calibri" w:cs="Calibri"/>
        </w:rPr>
      </w:pPr>
      <w:r>
        <w:rPr>
          <w:rFonts w:ascii="Calibri" w:hAnsi="Calibri" w:cs="Calibri"/>
        </w:rPr>
        <w:t>Les établissements sont plus nombreux à déclarer avoir eu recours aux heures supplémentaires en 2014 pour du personnel logistique</w:t>
      </w:r>
      <w:r w:rsidR="00123AF6">
        <w:rPr>
          <w:rFonts w:ascii="Calibri" w:hAnsi="Calibri" w:cs="Calibri"/>
        </w:rPr>
        <w:t xml:space="preserve"> (</w:t>
      </w:r>
      <w:r w:rsidR="00B6063C">
        <w:rPr>
          <w:rFonts w:ascii="Calibri" w:hAnsi="Calibri" w:cs="Calibri"/>
        </w:rPr>
        <w:t>leur proportion s’accroît de cinq points)</w:t>
      </w:r>
      <w:r>
        <w:rPr>
          <w:rFonts w:ascii="Calibri" w:hAnsi="Calibri" w:cs="Calibri"/>
        </w:rPr>
        <w:t xml:space="preserve">, et ce pour toutes les catégories d’emploi. </w:t>
      </w:r>
    </w:p>
    <w:p w:rsidR="00123AF6" w:rsidRDefault="00123AF6" w:rsidP="002B1371">
      <w:pPr>
        <w:jc w:val="both"/>
        <w:rPr>
          <w:rFonts w:ascii="Calibri" w:hAnsi="Calibri" w:cs="Calibri"/>
        </w:rPr>
      </w:pPr>
    </w:p>
    <w:p w:rsidR="00DE09F0" w:rsidRPr="002436B1" w:rsidRDefault="00DE09F0" w:rsidP="002B1371">
      <w:pPr>
        <w:jc w:val="both"/>
        <w:rPr>
          <w:rFonts w:ascii="Calibri" w:hAnsi="Calibri" w:cs="Calibri"/>
        </w:rPr>
      </w:pPr>
    </w:p>
    <w:p w:rsidR="002B1371" w:rsidRPr="00D045A6" w:rsidRDefault="00032142" w:rsidP="002B1371">
      <w:pPr>
        <w:rPr>
          <w:rFonts w:ascii="Arial Black" w:hAnsi="Arial Black" w:cs="Calibri"/>
          <w:b/>
          <w:bCs/>
          <w:color w:val="632423"/>
        </w:rPr>
      </w:pPr>
      <w:r>
        <w:rPr>
          <w:rFonts w:ascii="Arial Black" w:hAnsi="Arial Black" w:cs="Calibri"/>
          <w:b/>
          <w:bCs/>
          <w:color w:val="632423"/>
        </w:rPr>
        <w:t xml:space="preserve">Néanmoins le </w:t>
      </w:r>
      <w:r w:rsidR="002B1371" w:rsidRPr="00D045A6">
        <w:rPr>
          <w:rFonts w:ascii="Arial Black" w:hAnsi="Arial Black" w:cs="Calibri"/>
          <w:b/>
          <w:bCs/>
          <w:color w:val="632423"/>
        </w:rPr>
        <w:t xml:space="preserve">volume d’heures supplémentaires </w:t>
      </w:r>
      <w:r w:rsidR="00061C09">
        <w:rPr>
          <w:rFonts w:ascii="Arial Black" w:hAnsi="Arial Black" w:cs="Calibri"/>
          <w:b/>
          <w:bCs/>
          <w:color w:val="632423"/>
        </w:rPr>
        <w:t>a plus fréquemment été réduit</w:t>
      </w:r>
    </w:p>
    <w:p w:rsidR="002B1371" w:rsidRPr="002436B1" w:rsidRDefault="002B1371" w:rsidP="002B1371">
      <w:pPr>
        <w:rPr>
          <w:rFonts w:ascii="Calibri" w:hAnsi="Calibri" w:cs="Calibri"/>
          <w:b/>
          <w:bCs/>
          <w:sz w:val="16"/>
          <w:szCs w:val="16"/>
        </w:rPr>
      </w:pPr>
    </w:p>
    <w:p w:rsidR="002B1371" w:rsidRPr="002436B1" w:rsidRDefault="002B1371" w:rsidP="002B1371">
      <w:pPr>
        <w:jc w:val="center"/>
        <w:rPr>
          <w:rFonts w:ascii="Calibri" w:hAnsi="Calibri" w:cs="Calibri"/>
          <w:b/>
          <w:bCs/>
        </w:rPr>
      </w:pPr>
      <w:r w:rsidRPr="002436B1">
        <w:rPr>
          <w:rFonts w:ascii="Calibri" w:hAnsi="Calibri" w:cs="Calibri"/>
          <w:b/>
          <w:bCs/>
        </w:rPr>
        <w:t>Evolution du volume d’heures supplémentaires par catégorie d’emploi en 201</w:t>
      </w:r>
      <w:r w:rsidR="00396D54">
        <w:rPr>
          <w:rFonts w:ascii="Calibri" w:hAnsi="Calibri" w:cs="Calibri"/>
          <w:b/>
          <w:bCs/>
        </w:rPr>
        <w:t>4</w:t>
      </w:r>
    </w:p>
    <w:p w:rsidR="002B1371" w:rsidRPr="002436B1" w:rsidRDefault="002B1371" w:rsidP="002B1371">
      <w:pPr>
        <w:rPr>
          <w:rFonts w:ascii="Calibri" w:hAnsi="Calibri" w:cs="Calibri"/>
          <w:sz w:val="16"/>
          <w:szCs w:val="16"/>
        </w:rPr>
      </w:pPr>
    </w:p>
    <w:p w:rsidR="002B1371" w:rsidRPr="002436B1" w:rsidRDefault="002B1371" w:rsidP="002B1371">
      <w:pPr>
        <w:rPr>
          <w:rFonts w:ascii="Calibri" w:hAnsi="Calibri" w:cs="Calibri"/>
          <w:i/>
          <w:iCs/>
        </w:rPr>
      </w:pPr>
      <w:r w:rsidRPr="002436B1">
        <w:rPr>
          <w:rFonts w:ascii="Calibri" w:hAnsi="Calibri" w:cs="Calibri"/>
          <w:i/>
          <w:iCs/>
        </w:rPr>
        <w:t xml:space="preserve">  </w:t>
      </w:r>
      <w:r w:rsidR="00E14106">
        <w:rPr>
          <w:rFonts w:ascii="Calibri" w:hAnsi="Calibri" w:cs="Calibri"/>
          <w:i/>
          <w:iCs/>
        </w:rPr>
        <w:t xml:space="preserve">                                                 </w:t>
      </w:r>
      <w:r w:rsidRPr="002436B1">
        <w:rPr>
          <w:rFonts w:ascii="Calibri" w:hAnsi="Calibri" w:cs="Calibri"/>
          <w:i/>
          <w:iCs/>
        </w:rPr>
        <w:t xml:space="preserve">Etablissements de 100 salariés et plus </w:t>
      </w:r>
      <w:r w:rsidR="00303F0E">
        <w:rPr>
          <w:rFonts w:ascii="Calibri" w:hAnsi="Calibri" w:cs="Calibri"/>
          <w:i/>
          <w:iCs/>
        </w:rPr>
        <w:tab/>
        <w:t xml:space="preserve">                   </w:t>
      </w:r>
      <w:r w:rsidR="00A56B21">
        <w:rPr>
          <w:rFonts w:ascii="Calibri" w:hAnsi="Calibri" w:cs="Calibri"/>
          <w:i/>
          <w:iCs/>
        </w:rPr>
        <w:t xml:space="preserve">          </w:t>
      </w:r>
      <w:r w:rsidR="00303F0E">
        <w:rPr>
          <w:rFonts w:ascii="Calibri" w:hAnsi="Calibri" w:cs="Calibri"/>
          <w:i/>
          <w:iCs/>
        </w:rPr>
        <w:t xml:space="preserve">      </w:t>
      </w:r>
      <w:r w:rsidR="00303F0E" w:rsidRPr="002436B1">
        <w:rPr>
          <w:rFonts w:ascii="Calibri" w:hAnsi="Calibri" w:cs="Calibri"/>
          <w:i/>
          <w:iCs/>
        </w:rPr>
        <w:t>Eta</w:t>
      </w:r>
      <w:r w:rsidR="00303F0E">
        <w:rPr>
          <w:rFonts w:ascii="Calibri" w:hAnsi="Calibri" w:cs="Calibri"/>
          <w:i/>
          <w:iCs/>
        </w:rPr>
        <w:t>blissements de 50 à 99 salariés</w:t>
      </w:r>
    </w:p>
    <w:tbl>
      <w:tblPr>
        <w:tblStyle w:val="Trameclaire-Accent4"/>
        <w:tblW w:w="15089" w:type="dxa"/>
        <w:tblLook w:val="04A0" w:firstRow="1" w:lastRow="0" w:firstColumn="1" w:lastColumn="0" w:noHBand="0" w:noVBand="1"/>
      </w:tblPr>
      <w:tblGrid>
        <w:gridCol w:w="2022"/>
        <w:gridCol w:w="1506"/>
        <w:gridCol w:w="2058"/>
        <w:gridCol w:w="1651"/>
        <w:gridCol w:w="1093"/>
        <w:gridCol w:w="283"/>
        <w:gridCol w:w="1508"/>
        <w:gridCol w:w="1963"/>
        <w:gridCol w:w="1625"/>
        <w:gridCol w:w="1380"/>
      </w:tblGrid>
      <w:tr w:rsidR="00A56B21" w:rsidRPr="00A56B21" w:rsidTr="00306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032142" w:rsidRPr="00A56B21" w:rsidRDefault="00032142" w:rsidP="00F3284E">
            <w:pPr>
              <w:rPr>
                <w:rFonts w:ascii="Calibri" w:hAnsi="Calibri" w:cs="Calibri"/>
                <w:b w:val="0"/>
                <w:bCs w:val="0"/>
                <w:color w:val="auto"/>
                <w:sz w:val="22"/>
              </w:rPr>
            </w:pPr>
          </w:p>
        </w:tc>
        <w:tc>
          <w:tcPr>
            <w:tcW w:w="1506" w:type="dxa"/>
          </w:tcPr>
          <w:p w:rsidR="00032142" w:rsidRPr="00A56B21" w:rsidRDefault="00032142"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Cadres</w:t>
            </w:r>
          </w:p>
        </w:tc>
        <w:tc>
          <w:tcPr>
            <w:tcW w:w="2058" w:type="dxa"/>
          </w:tcPr>
          <w:p w:rsidR="00032142" w:rsidRPr="00A56B21" w:rsidRDefault="00032142"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Techniciens/Agents de maîtrise</w:t>
            </w:r>
          </w:p>
        </w:tc>
        <w:tc>
          <w:tcPr>
            <w:tcW w:w="1651" w:type="dxa"/>
          </w:tcPr>
          <w:p w:rsidR="00032142" w:rsidRPr="00A56B21" w:rsidRDefault="00032142"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Opérateurs</w:t>
            </w:r>
          </w:p>
        </w:tc>
        <w:tc>
          <w:tcPr>
            <w:tcW w:w="1093" w:type="dxa"/>
          </w:tcPr>
          <w:p w:rsidR="00032142" w:rsidRPr="00A56B21" w:rsidRDefault="00032142"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TOTAL</w:t>
            </w:r>
          </w:p>
        </w:tc>
        <w:tc>
          <w:tcPr>
            <w:tcW w:w="283" w:type="dxa"/>
            <w:tcBorders>
              <w:top w:val="nil"/>
              <w:bottom w:val="nil"/>
            </w:tcBorders>
            <w:shd w:val="clear" w:color="auto" w:fill="auto"/>
          </w:tcPr>
          <w:p w:rsidR="00032142" w:rsidRPr="00A56B21" w:rsidRDefault="00032142"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p>
        </w:tc>
        <w:tc>
          <w:tcPr>
            <w:tcW w:w="1508" w:type="dxa"/>
          </w:tcPr>
          <w:p w:rsidR="00032142" w:rsidRPr="00A56B21" w:rsidRDefault="00032142" w:rsidP="00E329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Cadres</w:t>
            </w:r>
          </w:p>
        </w:tc>
        <w:tc>
          <w:tcPr>
            <w:tcW w:w="1963" w:type="dxa"/>
          </w:tcPr>
          <w:p w:rsidR="00032142" w:rsidRPr="00A56B21" w:rsidRDefault="00032142" w:rsidP="00E329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Techniciens/Agents de maîtrise</w:t>
            </w:r>
          </w:p>
        </w:tc>
        <w:tc>
          <w:tcPr>
            <w:tcW w:w="1625" w:type="dxa"/>
          </w:tcPr>
          <w:p w:rsidR="00032142" w:rsidRPr="00A56B21" w:rsidRDefault="00032142" w:rsidP="00E329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Opérateurs</w:t>
            </w:r>
          </w:p>
        </w:tc>
        <w:tc>
          <w:tcPr>
            <w:tcW w:w="1380" w:type="dxa"/>
          </w:tcPr>
          <w:p w:rsidR="00032142" w:rsidRPr="00A56B21" w:rsidRDefault="00032142" w:rsidP="00E329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A56B21">
              <w:rPr>
                <w:rFonts w:ascii="Calibri" w:hAnsi="Calibri" w:cs="Calibri"/>
                <w:b w:val="0"/>
                <w:bCs w:val="0"/>
                <w:color w:val="auto"/>
                <w:sz w:val="22"/>
              </w:rPr>
              <w:t>TOTAL</w:t>
            </w:r>
          </w:p>
        </w:tc>
      </w:tr>
      <w:tr w:rsidR="00A56B21" w:rsidRPr="00A56B21" w:rsidTr="0030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032142" w:rsidRPr="00A56B21" w:rsidRDefault="00032142" w:rsidP="00F3284E">
            <w:pPr>
              <w:rPr>
                <w:rFonts w:ascii="Calibri" w:hAnsi="Calibri" w:cs="Calibri"/>
                <w:b w:val="0"/>
                <w:bCs w:val="0"/>
                <w:color w:val="auto"/>
                <w:sz w:val="22"/>
              </w:rPr>
            </w:pPr>
            <w:r w:rsidRPr="00A56B21">
              <w:rPr>
                <w:rFonts w:ascii="Calibri" w:hAnsi="Calibri" w:cs="Calibri"/>
                <w:b w:val="0"/>
                <w:bCs w:val="0"/>
                <w:color w:val="auto"/>
                <w:sz w:val="22"/>
              </w:rPr>
              <w:t>Augmentation</w:t>
            </w:r>
          </w:p>
        </w:tc>
        <w:tc>
          <w:tcPr>
            <w:tcW w:w="1506"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2%</w:t>
            </w:r>
          </w:p>
        </w:tc>
        <w:tc>
          <w:tcPr>
            <w:tcW w:w="2058"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6%</w:t>
            </w:r>
          </w:p>
        </w:tc>
        <w:tc>
          <w:tcPr>
            <w:tcW w:w="1651"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11%</w:t>
            </w:r>
          </w:p>
        </w:tc>
        <w:tc>
          <w:tcPr>
            <w:tcW w:w="1093"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9%</w:t>
            </w:r>
          </w:p>
        </w:tc>
        <w:tc>
          <w:tcPr>
            <w:tcW w:w="283" w:type="dxa"/>
            <w:tcBorders>
              <w:top w:val="nil"/>
              <w:bottom w:val="nil"/>
            </w:tcBorders>
            <w:shd w:val="clear" w:color="auto" w:fill="auto"/>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p>
        </w:tc>
        <w:tc>
          <w:tcPr>
            <w:tcW w:w="1508"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3%</w:t>
            </w:r>
          </w:p>
        </w:tc>
        <w:tc>
          <w:tcPr>
            <w:tcW w:w="1963"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6%</w:t>
            </w:r>
          </w:p>
        </w:tc>
        <w:tc>
          <w:tcPr>
            <w:tcW w:w="1625"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11%</w:t>
            </w:r>
          </w:p>
        </w:tc>
        <w:tc>
          <w:tcPr>
            <w:tcW w:w="1380"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8%</w:t>
            </w:r>
          </w:p>
        </w:tc>
      </w:tr>
      <w:tr w:rsidR="00A56B21" w:rsidRPr="00A56B21" w:rsidTr="00306147">
        <w:tc>
          <w:tcPr>
            <w:cnfStyle w:val="001000000000" w:firstRow="0" w:lastRow="0" w:firstColumn="1" w:lastColumn="0" w:oddVBand="0" w:evenVBand="0" w:oddHBand="0" w:evenHBand="0" w:firstRowFirstColumn="0" w:firstRowLastColumn="0" w:lastRowFirstColumn="0" w:lastRowLastColumn="0"/>
            <w:tcW w:w="2022" w:type="dxa"/>
          </w:tcPr>
          <w:p w:rsidR="00032142" w:rsidRPr="00A56B21" w:rsidRDefault="00032142" w:rsidP="00F3284E">
            <w:pPr>
              <w:rPr>
                <w:rFonts w:ascii="Calibri" w:hAnsi="Calibri" w:cs="Calibri"/>
                <w:b w:val="0"/>
                <w:bCs w:val="0"/>
                <w:color w:val="auto"/>
                <w:sz w:val="22"/>
              </w:rPr>
            </w:pPr>
            <w:r w:rsidRPr="00A56B21">
              <w:rPr>
                <w:rFonts w:ascii="Calibri" w:hAnsi="Calibri" w:cs="Calibri"/>
                <w:b w:val="0"/>
                <w:bCs w:val="0"/>
                <w:color w:val="auto"/>
                <w:sz w:val="22"/>
              </w:rPr>
              <w:t>Stabilité</w:t>
            </w:r>
          </w:p>
        </w:tc>
        <w:tc>
          <w:tcPr>
            <w:tcW w:w="1506"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52%</w:t>
            </w:r>
          </w:p>
        </w:tc>
        <w:tc>
          <w:tcPr>
            <w:tcW w:w="2058"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55%</w:t>
            </w:r>
          </w:p>
        </w:tc>
        <w:tc>
          <w:tcPr>
            <w:tcW w:w="1651"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57%</w:t>
            </w:r>
          </w:p>
        </w:tc>
        <w:tc>
          <w:tcPr>
            <w:tcW w:w="1093"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58%</w:t>
            </w:r>
          </w:p>
        </w:tc>
        <w:tc>
          <w:tcPr>
            <w:tcW w:w="283" w:type="dxa"/>
            <w:tcBorders>
              <w:top w:val="nil"/>
              <w:bottom w:val="nil"/>
            </w:tcBorders>
            <w:shd w:val="clear" w:color="auto" w:fill="auto"/>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p>
        </w:tc>
        <w:tc>
          <w:tcPr>
            <w:tcW w:w="1508"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84%</w:t>
            </w:r>
          </w:p>
        </w:tc>
        <w:tc>
          <w:tcPr>
            <w:tcW w:w="1963"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84%</w:t>
            </w:r>
          </w:p>
        </w:tc>
        <w:tc>
          <w:tcPr>
            <w:tcW w:w="1625"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73%</w:t>
            </w:r>
          </w:p>
        </w:tc>
        <w:tc>
          <w:tcPr>
            <w:tcW w:w="1380"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75%</w:t>
            </w:r>
          </w:p>
        </w:tc>
      </w:tr>
      <w:tr w:rsidR="00A56B21" w:rsidRPr="00A56B21" w:rsidTr="0030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032142" w:rsidRPr="00A56B21" w:rsidRDefault="00032142" w:rsidP="00F3284E">
            <w:pPr>
              <w:rPr>
                <w:rFonts w:ascii="Calibri" w:hAnsi="Calibri" w:cs="Calibri"/>
                <w:b w:val="0"/>
                <w:bCs w:val="0"/>
                <w:color w:val="auto"/>
                <w:sz w:val="22"/>
              </w:rPr>
            </w:pPr>
            <w:r w:rsidRPr="00A56B21">
              <w:rPr>
                <w:rFonts w:ascii="Calibri" w:hAnsi="Calibri" w:cs="Calibri"/>
                <w:b w:val="0"/>
                <w:bCs w:val="0"/>
                <w:color w:val="auto"/>
                <w:sz w:val="22"/>
              </w:rPr>
              <w:t>Diminution</w:t>
            </w:r>
          </w:p>
        </w:tc>
        <w:tc>
          <w:tcPr>
            <w:tcW w:w="1506"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3%</w:t>
            </w:r>
          </w:p>
        </w:tc>
        <w:tc>
          <w:tcPr>
            <w:tcW w:w="2058"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7%</w:t>
            </w:r>
          </w:p>
        </w:tc>
        <w:tc>
          <w:tcPr>
            <w:tcW w:w="1651"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15%</w:t>
            </w:r>
          </w:p>
        </w:tc>
        <w:tc>
          <w:tcPr>
            <w:tcW w:w="1093"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13%</w:t>
            </w:r>
          </w:p>
        </w:tc>
        <w:tc>
          <w:tcPr>
            <w:tcW w:w="283" w:type="dxa"/>
            <w:tcBorders>
              <w:top w:val="nil"/>
              <w:bottom w:val="nil"/>
            </w:tcBorders>
            <w:shd w:val="clear" w:color="auto" w:fill="auto"/>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p>
        </w:tc>
        <w:tc>
          <w:tcPr>
            <w:tcW w:w="1508"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0%</w:t>
            </w:r>
          </w:p>
        </w:tc>
        <w:tc>
          <w:tcPr>
            <w:tcW w:w="1963"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2%</w:t>
            </w:r>
          </w:p>
        </w:tc>
        <w:tc>
          <w:tcPr>
            <w:tcW w:w="1625"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13%</w:t>
            </w:r>
          </w:p>
        </w:tc>
        <w:tc>
          <w:tcPr>
            <w:tcW w:w="1380" w:type="dxa"/>
          </w:tcPr>
          <w:p w:rsidR="00032142" w:rsidRPr="00A56B21" w:rsidRDefault="00032142"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11%</w:t>
            </w:r>
          </w:p>
        </w:tc>
      </w:tr>
      <w:tr w:rsidR="00A56B21" w:rsidRPr="00A56B21" w:rsidTr="00306147">
        <w:tc>
          <w:tcPr>
            <w:cnfStyle w:val="001000000000" w:firstRow="0" w:lastRow="0" w:firstColumn="1" w:lastColumn="0" w:oddVBand="0" w:evenVBand="0" w:oddHBand="0" w:evenHBand="0" w:firstRowFirstColumn="0" w:firstRowLastColumn="0" w:lastRowFirstColumn="0" w:lastRowLastColumn="0"/>
            <w:tcW w:w="2022" w:type="dxa"/>
          </w:tcPr>
          <w:p w:rsidR="00032142" w:rsidRPr="00A56B21" w:rsidRDefault="00032142" w:rsidP="00B6063C">
            <w:pPr>
              <w:rPr>
                <w:rFonts w:ascii="Calibri" w:hAnsi="Calibri" w:cs="Calibri"/>
                <w:b w:val="0"/>
                <w:bCs w:val="0"/>
                <w:color w:val="auto"/>
                <w:sz w:val="22"/>
              </w:rPr>
            </w:pPr>
            <w:r w:rsidRPr="00A56B21">
              <w:rPr>
                <w:rFonts w:ascii="Calibri" w:hAnsi="Calibri" w:cs="Calibri"/>
                <w:b w:val="0"/>
                <w:bCs w:val="0"/>
                <w:color w:val="auto"/>
                <w:sz w:val="22"/>
              </w:rPr>
              <w:t>Ne se prononce pas</w:t>
            </w:r>
          </w:p>
        </w:tc>
        <w:tc>
          <w:tcPr>
            <w:tcW w:w="1506"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43%</w:t>
            </w:r>
          </w:p>
        </w:tc>
        <w:tc>
          <w:tcPr>
            <w:tcW w:w="2058"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32%</w:t>
            </w:r>
          </w:p>
        </w:tc>
        <w:tc>
          <w:tcPr>
            <w:tcW w:w="1651"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17%</w:t>
            </w:r>
          </w:p>
        </w:tc>
        <w:tc>
          <w:tcPr>
            <w:tcW w:w="1093"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21%</w:t>
            </w:r>
          </w:p>
        </w:tc>
        <w:tc>
          <w:tcPr>
            <w:tcW w:w="283" w:type="dxa"/>
            <w:tcBorders>
              <w:top w:val="nil"/>
              <w:bottom w:val="nil"/>
            </w:tcBorders>
            <w:shd w:val="clear" w:color="auto" w:fill="auto"/>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p>
        </w:tc>
        <w:tc>
          <w:tcPr>
            <w:tcW w:w="1508"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13%</w:t>
            </w:r>
          </w:p>
        </w:tc>
        <w:tc>
          <w:tcPr>
            <w:tcW w:w="1963"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8%</w:t>
            </w:r>
          </w:p>
        </w:tc>
        <w:tc>
          <w:tcPr>
            <w:tcW w:w="1625"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4%</w:t>
            </w:r>
          </w:p>
        </w:tc>
        <w:tc>
          <w:tcPr>
            <w:tcW w:w="1380" w:type="dxa"/>
          </w:tcPr>
          <w:p w:rsidR="00032142" w:rsidRPr="00A56B21" w:rsidRDefault="00032142"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2"/>
              </w:rPr>
            </w:pPr>
            <w:r w:rsidRPr="00A56B21">
              <w:rPr>
                <w:rFonts w:ascii="Calibri" w:hAnsi="Calibri" w:cs="Calibri"/>
                <w:bCs/>
                <w:color w:val="auto"/>
                <w:sz w:val="22"/>
              </w:rPr>
              <w:t>5%</w:t>
            </w:r>
          </w:p>
        </w:tc>
      </w:tr>
    </w:tbl>
    <w:p w:rsidR="002B1371" w:rsidRPr="002436B1" w:rsidRDefault="002B1371" w:rsidP="002B1371">
      <w:pPr>
        <w:rPr>
          <w:rFonts w:ascii="Calibri" w:hAnsi="Calibri" w:cs="Calibri"/>
          <w:i/>
          <w:iCs/>
          <w:sz w:val="16"/>
          <w:szCs w:val="16"/>
        </w:rPr>
      </w:pPr>
    </w:p>
    <w:p w:rsidR="002B1371" w:rsidRPr="002436B1" w:rsidRDefault="002B1371" w:rsidP="002B1371">
      <w:pPr>
        <w:jc w:val="both"/>
        <w:rPr>
          <w:rFonts w:ascii="Calibri" w:hAnsi="Calibri" w:cs="Calibri"/>
        </w:rPr>
      </w:pPr>
    </w:p>
    <w:p w:rsidR="002B1371" w:rsidRPr="002436B1" w:rsidRDefault="00B613E0" w:rsidP="002B1371">
      <w:pPr>
        <w:jc w:val="both"/>
        <w:rPr>
          <w:rFonts w:ascii="Calibri" w:hAnsi="Calibri" w:cs="Calibri"/>
        </w:rPr>
      </w:pPr>
      <w:r>
        <w:rPr>
          <w:rFonts w:ascii="Calibri" w:hAnsi="Calibri" w:cs="Calibri"/>
        </w:rPr>
        <w:t xml:space="preserve">13% des établissements de 100 salariés et plus déclarent que le personnel logistique a réalisé moins d’heures supplémentaires en 2014. Celles-ci auraient augmenté dans 9% des établissements de cette tranche de taille. </w:t>
      </w:r>
    </w:p>
    <w:p w:rsidR="002B1371" w:rsidRDefault="002B1371" w:rsidP="002B1371">
      <w:pPr>
        <w:jc w:val="both"/>
        <w:rPr>
          <w:rFonts w:ascii="Calibri" w:hAnsi="Calibri" w:cs="Calibri"/>
        </w:rPr>
      </w:pPr>
    </w:p>
    <w:p w:rsidR="00CC0C7C" w:rsidRDefault="00CC0C7C">
      <w:pPr>
        <w:rPr>
          <w:rFonts w:ascii="Arial Black" w:hAnsi="Arial Black" w:cs="Calibri"/>
          <w:b/>
          <w:bCs/>
          <w:color w:val="632423"/>
        </w:rPr>
      </w:pPr>
    </w:p>
    <w:p w:rsidR="002B1371" w:rsidRPr="00AF11F6" w:rsidRDefault="00B367A9" w:rsidP="002B1371">
      <w:pPr>
        <w:rPr>
          <w:rFonts w:ascii="Arial Black" w:hAnsi="Arial Black" w:cs="Calibri"/>
          <w:b/>
          <w:bCs/>
          <w:color w:val="632423"/>
        </w:rPr>
      </w:pPr>
      <w:r>
        <w:rPr>
          <w:rFonts w:ascii="Arial Black" w:hAnsi="Arial Black" w:cs="Calibri"/>
          <w:b/>
          <w:bCs/>
          <w:color w:val="632423"/>
        </w:rPr>
        <w:t xml:space="preserve">La tendance </w:t>
      </w:r>
      <w:r w:rsidR="00A83087">
        <w:rPr>
          <w:rFonts w:ascii="Arial Black" w:hAnsi="Arial Black" w:cs="Calibri"/>
          <w:b/>
          <w:bCs/>
          <w:color w:val="632423"/>
        </w:rPr>
        <w:t>reste</w:t>
      </w:r>
      <w:r>
        <w:rPr>
          <w:rFonts w:ascii="Arial Black" w:hAnsi="Arial Black" w:cs="Calibri"/>
          <w:b/>
          <w:bCs/>
          <w:color w:val="632423"/>
        </w:rPr>
        <w:t xml:space="preserve"> à la baisse du</w:t>
      </w:r>
      <w:r w:rsidR="002B1371" w:rsidRPr="00AF11F6">
        <w:rPr>
          <w:rFonts w:ascii="Arial Black" w:hAnsi="Arial Black" w:cs="Calibri"/>
          <w:b/>
          <w:bCs/>
          <w:color w:val="632423"/>
        </w:rPr>
        <w:t xml:space="preserve"> volume d’heures supplémentaires du personnel logistique </w:t>
      </w:r>
      <w:r>
        <w:rPr>
          <w:rFonts w:ascii="Arial Black" w:hAnsi="Arial Black" w:cs="Calibri"/>
          <w:b/>
          <w:bCs/>
          <w:color w:val="632423"/>
        </w:rPr>
        <w:t>en 2015</w:t>
      </w:r>
    </w:p>
    <w:p w:rsidR="002B1371" w:rsidRPr="002436B1" w:rsidRDefault="002B1371"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Prévision d’évolution du volume d’heures supplémentaires par catégorie d’emploi en 201</w:t>
      </w:r>
      <w:r w:rsidR="00B367A9">
        <w:rPr>
          <w:rFonts w:ascii="Calibri" w:hAnsi="Calibri" w:cs="Calibri"/>
          <w:b/>
          <w:bCs/>
        </w:rPr>
        <w:t>5</w:t>
      </w:r>
    </w:p>
    <w:p w:rsidR="006A0B32" w:rsidRPr="002436B1" w:rsidRDefault="006A0B32" w:rsidP="002B1371">
      <w:pPr>
        <w:rPr>
          <w:rFonts w:ascii="Calibri" w:hAnsi="Calibri" w:cs="Calibri"/>
        </w:rPr>
      </w:pPr>
    </w:p>
    <w:p w:rsidR="002B1371" w:rsidRDefault="00D4418B" w:rsidP="002B1371">
      <w:pPr>
        <w:rPr>
          <w:rFonts w:ascii="Calibri" w:hAnsi="Calibri" w:cs="Calibri"/>
          <w:i/>
          <w:iCs/>
        </w:rPr>
      </w:pPr>
      <w:r>
        <w:rPr>
          <w:rFonts w:ascii="Calibri" w:hAnsi="Calibri" w:cs="Calibri"/>
          <w:i/>
          <w:iCs/>
        </w:rPr>
        <w:t xml:space="preserve">                                           </w:t>
      </w:r>
      <w:r w:rsidR="002B1371" w:rsidRPr="002436B1">
        <w:rPr>
          <w:rFonts w:ascii="Calibri" w:hAnsi="Calibri" w:cs="Calibri"/>
          <w:i/>
          <w:iCs/>
        </w:rPr>
        <w:t xml:space="preserve">Etablissements de 100 salariés et plus </w:t>
      </w:r>
      <w:r>
        <w:rPr>
          <w:rFonts w:ascii="Calibri" w:hAnsi="Calibri" w:cs="Calibri"/>
          <w:i/>
          <w:iCs/>
        </w:rPr>
        <w:t xml:space="preserve">                                                </w:t>
      </w:r>
      <w:r w:rsidRPr="006A4F4E">
        <w:rPr>
          <w:rFonts w:ascii="Calibri" w:hAnsi="Calibri" w:cs="Calibri"/>
          <w:i/>
          <w:iCs/>
        </w:rPr>
        <w:t>Etablissements de 50 à 99 salariés</w:t>
      </w:r>
    </w:p>
    <w:p w:rsidR="006A0B32" w:rsidRPr="00D4418B" w:rsidRDefault="006A0B32" w:rsidP="002B1371">
      <w:pPr>
        <w:rPr>
          <w:rFonts w:ascii="Calibri" w:hAnsi="Calibri" w:cs="Calibri"/>
          <w:i/>
          <w:iCs/>
          <w:sz w:val="16"/>
          <w:szCs w:val="16"/>
        </w:rPr>
      </w:pPr>
    </w:p>
    <w:tbl>
      <w:tblPr>
        <w:tblStyle w:val="Listemoyenne1-Accent2"/>
        <w:tblW w:w="0" w:type="auto"/>
        <w:tblLayout w:type="fixed"/>
        <w:tblLook w:val="04A0" w:firstRow="1" w:lastRow="0" w:firstColumn="1" w:lastColumn="0" w:noHBand="0" w:noVBand="1"/>
      </w:tblPr>
      <w:tblGrid>
        <w:gridCol w:w="1951"/>
        <w:gridCol w:w="1564"/>
        <w:gridCol w:w="1980"/>
        <w:gridCol w:w="1503"/>
        <w:gridCol w:w="1332"/>
        <w:gridCol w:w="314"/>
        <w:gridCol w:w="1387"/>
        <w:gridCol w:w="1984"/>
        <w:gridCol w:w="1504"/>
        <w:gridCol w:w="1503"/>
      </w:tblGrid>
      <w:tr w:rsidR="00D4418B" w:rsidRPr="00F501C6" w:rsidTr="00183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C0504D" w:themeColor="accent2"/>
            </w:tcBorders>
          </w:tcPr>
          <w:p w:rsidR="00D4418B" w:rsidRPr="00F501C6" w:rsidRDefault="00D4418B" w:rsidP="00F3284E">
            <w:pPr>
              <w:rPr>
                <w:rFonts w:ascii="Calibri" w:hAnsi="Calibri" w:cs="Calibri"/>
                <w:b w:val="0"/>
                <w:bCs w:val="0"/>
                <w:sz w:val="18"/>
                <w:szCs w:val="22"/>
              </w:rPr>
            </w:pPr>
          </w:p>
        </w:tc>
        <w:tc>
          <w:tcPr>
            <w:tcW w:w="1564" w:type="dxa"/>
            <w:tcBorders>
              <w:top w:val="single" w:sz="8" w:space="0" w:color="C0504D" w:themeColor="accent2"/>
            </w:tcBorders>
          </w:tcPr>
          <w:p w:rsidR="00D4418B" w:rsidRPr="00183195" w:rsidRDefault="00D4418B"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Cadres</w:t>
            </w:r>
          </w:p>
        </w:tc>
        <w:tc>
          <w:tcPr>
            <w:tcW w:w="1980" w:type="dxa"/>
            <w:tcBorders>
              <w:top w:val="single" w:sz="8" w:space="0" w:color="C0504D" w:themeColor="accent2"/>
            </w:tcBorders>
          </w:tcPr>
          <w:p w:rsidR="00D4418B" w:rsidRPr="00183195" w:rsidRDefault="00D4418B" w:rsidP="00C530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Techniciens/Agents</w:t>
            </w:r>
          </w:p>
          <w:p w:rsidR="00D4418B" w:rsidRPr="00183195" w:rsidRDefault="00D4418B" w:rsidP="00C530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 xml:space="preserve"> de maîtrise</w:t>
            </w:r>
          </w:p>
        </w:tc>
        <w:tc>
          <w:tcPr>
            <w:tcW w:w="1503" w:type="dxa"/>
            <w:tcBorders>
              <w:top w:val="single" w:sz="8" w:space="0" w:color="C0504D" w:themeColor="accent2"/>
            </w:tcBorders>
          </w:tcPr>
          <w:p w:rsidR="00D4418B" w:rsidRPr="00183195" w:rsidRDefault="00D4418B"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Opérateurs</w:t>
            </w:r>
          </w:p>
        </w:tc>
        <w:tc>
          <w:tcPr>
            <w:tcW w:w="1332" w:type="dxa"/>
            <w:tcBorders>
              <w:top w:val="single" w:sz="8" w:space="0" w:color="C0504D" w:themeColor="accent2"/>
            </w:tcBorders>
          </w:tcPr>
          <w:p w:rsidR="00D4418B" w:rsidRPr="00183195" w:rsidRDefault="00D4418B"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Total</w:t>
            </w:r>
          </w:p>
        </w:tc>
        <w:tc>
          <w:tcPr>
            <w:tcW w:w="314" w:type="dxa"/>
            <w:tcBorders>
              <w:bottom w:val="nil"/>
            </w:tcBorders>
            <w:shd w:val="clear" w:color="auto" w:fill="auto"/>
          </w:tcPr>
          <w:p w:rsidR="00D4418B" w:rsidRPr="00183195" w:rsidRDefault="00D4418B"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1387" w:type="dxa"/>
            <w:tcBorders>
              <w:top w:val="single" w:sz="8" w:space="0" w:color="C0504D" w:themeColor="accent2"/>
            </w:tcBorders>
          </w:tcPr>
          <w:p w:rsidR="00D4418B" w:rsidRPr="00183195" w:rsidRDefault="00D4418B" w:rsidP="002E40F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Cadres</w:t>
            </w:r>
          </w:p>
        </w:tc>
        <w:tc>
          <w:tcPr>
            <w:tcW w:w="1984" w:type="dxa"/>
            <w:tcBorders>
              <w:top w:val="single" w:sz="8" w:space="0" w:color="C0504D" w:themeColor="accent2"/>
            </w:tcBorders>
          </w:tcPr>
          <w:p w:rsidR="00D4418B" w:rsidRPr="00183195" w:rsidRDefault="00D4418B" w:rsidP="002E40F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Techniciens/Agents de maîtrise</w:t>
            </w:r>
          </w:p>
        </w:tc>
        <w:tc>
          <w:tcPr>
            <w:tcW w:w="1504" w:type="dxa"/>
            <w:tcBorders>
              <w:top w:val="single" w:sz="8" w:space="0" w:color="C0504D" w:themeColor="accent2"/>
            </w:tcBorders>
          </w:tcPr>
          <w:p w:rsidR="00D4418B" w:rsidRPr="00183195" w:rsidRDefault="00D4418B" w:rsidP="002E40F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Opérateurs</w:t>
            </w:r>
          </w:p>
        </w:tc>
        <w:tc>
          <w:tcPr>
            <w:tcW w:w="1503" w:type="dxa"/>
            <w:tcBorders>
              <w:top w:val="single" w:sz="8" w:space="0" w:color="C0504D" w:themeColor="accent2"/>
            </w:tcBorders>
          </w:tcPr>
          <w:p w:rsidR="00D4418B" w:rsidRPr="00183195" w:rsidRDefault="00D4418B" w:rsidP="002E40F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2"/>
                <w:szCs w:val="22"/>
              </w:rPr>
            </w:pPr>
            <w:r w:rsidRPr="00183195">
              <w:rPr>
                <w:rFonts w:ascii="Calibri" w:hAnsi="Calibri" w:cs="Calibri"/>
                <w:bCs/>
                <w:sz w:val="22"/>
                <w:szCs w:val="22"/>
              </w:rPr>
              <w:t>Total</w:t>
            </w:r>
          </w:p>
        </w:tc>
      </w:tr>
      <w:tr w:rsidR="00B613E0" w:rsidRPr="00F501C6" w:rsidTr="0018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613E0" w:rsidRPr="00183195" w:rsidRDefault="00B613E0" w:rsidP="00F3284E">
            <w:pPr>
              <w:rPr>
                <w:rFonts w:ascii="Calibri" w:hAnsi="Calibri" w:cs="Calibri"/>
                <w:b w:val="0"/>
                <w:bCs w:val="0"/>
                <w:sz w:val="22"/>
                <w:szCs w:val="22"/>
              </w:rPr>
            </w:pPr>
            <w:r w:rsidRPr="00183195">
              <w:rPr>
                <w:rFonts w:ascii="Calibri" w:hAnsi="Calibri" w:cs="Calibri"/>
                <w:b w:val="0"/>
                <w:bCs w:val="0"/>
                <w:sz w:val="22"/>
                <w:szCs w:val="22"/>
              </w:rPr>
              <w:t>Augmentation</w:t>
            </w:r>
          </w:p>
        </w:tc>
        <w:tc>
          <w:tcPr>
            <w:tcW w:w="1564"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w:t>
            </w:r>
          </w:p>
        </w:tc>
        <w:tc>
          <w:tcPr>
            <w:tcW w:w="1980"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w:t>
            </w:r>
          </w:p>
        </w:tc>
        <w:tc>
          <w:tcPr>
            <w:tcW w:w="1503"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w:t>
            </w:r>
          </w:p>
        </w:tc>
        <w:tc>
          <w:tcPr>
            <w:tcW w:w="1332"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w:t>
            </w:r>
          </w:p>
        </w:tc>
        <w:tc>
          <w:tcPr>
            <w:tcW w:w="314" w:type="dxa"/>
            <w:tcBorders>
              <w:top w:val="nil"/>
              <w:bottom w:val="nil"/>
            </w:tcBorders>
            <w:shd w:val="clear" w:color="auto" w:fill="auto"/>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387"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984"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w:t>
            </w:r>
          </w:p>
        </w:tc>
        <w:tc>
          <w:tcPr>
            <w:tcW w:w="1504"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w:t>
            </w:r>
          </w:p>
        </w:tc>
        <w:tc>
          <w:tcPr>
            <w:tcW w:w="1503"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w:t>
            </w:r>
          </w:p>
        </w:tc>
      </w:tr>
      <w:tr w:rsidR="00B613E0" w:rsidRPr="00F501C6" w:rsidTr="00183195">
        <w:tc>
          <w:tcPr>
            <w:cnfStyle w:val="001000000000" w:firstRow="0" w:lastRow="0" w:firstColumn="1" w:lastColumn="0" w:oddVBand="0" w:evenVBand="0" w:oddHBand="0" w:evenHBand="0" w:firstRowFirstColumn="0" w:firstRowLastColumn="0" w:lastRowFirstColumn="0" w:lastRowLastColumn="0"/>
            <w:tcW w:w="1951" w:type="dxa"/>
          </w:tcPr>
          <w:p w:rsidR="00B613E0" w:rsidRPr="00183195" w:rsidRDefault="00B613E0" w:rsidP="00F3284E">
            <w:pPr>
              <w:rPr>
                <w:rFonts w:ascii="Calibri" w:hAnsi="Calibri" w:cs="Calibri"/>
                <w:b w:val="0"/>
                <w:bCs w:val="0"/>
                <w:sz w:val="22"/>
                <w:szCs w:val="22"/>
              </w:rPr>
            </w:pPr>
            <w:r w:rsidRPr="00183195">
              <w:rPr>
                <w:rFonts w:ascii="Calibri" w:hAnsi="Calibri" w:cs="Calibri"/>
                <w:b w:val="0"/>
                <w:bCs w:val="0"/>
                <w:sz w:val="22"/>
                <w:szCs w:val="22"/>
              </w:rPr>
              <w:t>Stabilité</w:t>
            </w:r>
          </w:p>
        </w:tc>
        <w:tc>
          <w:tcPr>
            <w:tcW w:w="1564"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52%</w:t>
            </w:r>
          </w:p>
        </w:tc>
        <w:tc>
          <w:tcPr>
            <w:tcW w:w="1980"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56%</w:t>
            </w:r>
          </w:p>
        </w:tc>
        <w:tc>
          <w:tcPr>
            <w:tcW w:w="1503"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62%</w:t>
            </w:r>
          </w:p>
        </w:tc>
        <w:tc>
          <w:tcPr>
            <w:tcW w:w="1332"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62%</w:t>
            </w:r>
          </w:p>
        </w:tc>
        <w:tc>
          <w:tcPr>
            <w:tcW w:w="314" w:type="dxa"/>
            <w:tcBorders>
              <w:top w:val="nil"/>
              <w:bottom w:val="nil"/>
            </w:tcBorders>
            <w:shd w:val="clear" w:color="auto" w:fill="auto"/>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1387"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81%</w:t>
            </w:r>
          </w:p>
        </w:tc>
        <w:tc>
          <w:tcPr>
            <w:tcW w:w="1984"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80%</w:t>
            </w:r>
          </w:p>
        </w:tc>
        <w:tc>
          <w:tcPr>
            <w:tcW w:w="1504"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75%</w:t>
            </w:r>
          </w:p>
        </w:tc>
        <w:tc>
          <w:tcPr>
            <w:tcW w:w="1503"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76%</w:t>
            </w:r>
          </w:p>
        </w:tc>
      </w:tr>
      <w:tr w:rsidR="00B613E0" w:rsidRPr="00F501C6" w:rsidTr="0018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613E0" w:rsidRPr="00183195" w:rsidRDefault="00B613E0" w:rsidP="00F3284E">
            <w:pPr>
              <w:rPr>
                <w:rFonts w:ascii="Calibri" w:hAnsi="Calibri" w:cs="Calibri"/>
                <w:b w:val="0"/>
                <w:bCs w:val="0"/>
                <w:sz w:val="22"/>
                <w:szCs w:val="22"/>
              </w:rPr>
            </w:pPr>
            <w:r w:rsidRPr="00183195">
              <w:rPr>
                <w:rFonts w:ascii="Calibri" w:hAnsi="Calibri" w:cs="Calibri"/>
                <w:b w:val="0"/>
                <w:bCs w:val="0"/>
                <w:sz w:val="22"/>
                <w:szCs w:val="22"/>
              </w:rPr>
              <w:t>Diminution</w:t>
            </w:r>
          </w:p>
        </w:tc>
        <w:tc>
          <w:tcPr>
            <w:tcW w:w="1564"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w:t>
            </w:r>
          </w:p>
        </w:tc>
        <w:tc>
          <w:tcPr>
            <w:tcW w:w="1980"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9%</w:t>
            </w:r>
          </w:p>
        </w:tc>
        <w:tc>
          <w:tcPr>
            <w:tcW w:w="1503"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16%</w:t>
            </w:r>
          </w:p>
        </w:tc>
        <w:tc>
          <w:tcPr>
            <w:tcW w:w="1332"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11%</w:t>
            </w:r>
          </w:p>
        </w:tc>
        <w:tc>
          <w:tcPr>
            <w:tcW w:w="314" w:type="dxa"/>
            <w:tcBorders>
              <w:top w:val="nil"/>
              <w:bottom w:val="nil"/>
            </w:tcBorders>
            <w:shd w:val="clear" w:color="auto" w:fill="auto"/>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387"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1984"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9%</w:t>
            </w:r>
          </w:p>
        </w:tc>
        <w:tc>
          <w:tcPr>
            <w:tcW w:w="1504"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16%</w:t>
            </w:r>
          </w:p>
        </w:tc>
        <w:tc>
          <w:tcPr>
            <w:tcW w:w="1503" w:type="dxa"/>
            <w:vAlign w:val="bottom"/>
          </w:tcPr>
          <w:p w:rsidR="00B613E0" w:rsidRPr="00183195" w:rsidRDefault="00B613E0" w:rsidP="001831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14%</w:t>
            </w:r>
          </w:p>
        </w:tc>
      </w:tr>
      <w:tr w:rsidR="00B613E0" w:rsidRPr="00F501C6" w:rsidTr="00183195">
        <w:tc>
          <w:tcPr>
            <w:cnfStyle w:val="001000000000" w:firstRow="0" w:lastRow="0" w:firstColumn="1" w:lastColumn="0" w:oddVBand="0" w:evenVBand="0" w:oddHBand="0" w:evenHBand="0" w:firstRowFirstColumn="0" w:firstRowLastColumn="0" w:lastRowFirstColumn="0" w:lastRowLastColumn="0"/>
            <w:tcW w:w="1951" w:type="dxa"/>
          </w:tcPr>
          <w:p w:rsidR="00B613E0" w:rsidRPr="00183195" w:rsidRDefault="00B613E0" w:rsidP="00F3284E">
            <w:pPr>
              <w:rPr>
                <w:rFonts w:ascii="Calibri" w:hAnsi="Calibri" w:cs="Calibri"/>
                <w:b w:val="0"/>
                <w:bCs w:val="0"/>
                <w:sz w:val="22"/>
                <w:szCs w:val="22"/>
              </w:rPr>
            </w:pPr>
            <w:r w:rsidRPr="00183195">
              <w:rPr>
                <w:rFonts w:ascii="Calibri" w:hAnsi="Calibri" w:cs="Calibri"/>
                <w:b w:val="0"/>
                <w:bCs w:val="0"/>
                <w:sz w:val="22"/>
                <w:szCs w:val="22"/>
              </w:rPr>
              <w:t>Ne sait pas</w:t>
            </w:r>
          </w:p>
        </w:tc>
        <w:tc>
          <w:tcPr>
            <w:tcW w:w="1564"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42%</w:t>
            </w:r>
          </w:p>
        </w:tc>
        <w:tc>
          <w:tcPr>
            <w:tcW w:w="1980"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32%</w:t>
            </w:r>
          </w:p>
        </w:tc>
        <w:tc>
          <w:tcPr>
            <w:tcW w:w="1503"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18%</w:t>
            </w:r>
          </w:p>
        </w:tc>
        <w:tc>
          <w:tcPr>
            <w:tcW w:w="1332"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21%</w:t>
            </w:r>
          </w:p>
        </w:tc>
        <w:tc>
          <w:tcPr>
            <w:tcW w:w="314" w:type="dxa"/>
            <w:tcBorders>
              <w:top w:val="nil"/>
              <w:bottom w:val="nil"/>
            </w:tcBorders>
            <w:shd w:val="clear" w:color="auto" w:fill="auto"/>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p>
        </w:tc>
        <w:tc>
          <w:tcPr>
            <w:tcW w:w="1387"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13%</w:t>
            </w:r>
          </w:p>
        </w:tc>
        <w:tc>
          <w:tcPr>
            <w:tcW w:w="1984"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8%</w:t>
            </w:r>
          </w:p>
        </w:tc>
        <w:tc>
          <w:tcPr>
            <w:tcW w:w="1504"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4%</w:t>
            </w:r>
          </w:p>
        </w:tc>
        <w:tc>
          <w:tcPr>
            <w:tcW w:w="1503" w:type="dxa"/>
            <w:vAlign w:val="bottom"/>
          </w:tcPr>
          <w:p w:rsidR="00B613E0" w:rsidRPr="00183195" w:rsidRDefault="00B613E0" w:rsidP="001831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3195">
              <w:rPr>
                <w:rFonts w:ascii="Calibri" w:hAnsi="Calibri" w:cs="Calibri"/>
                <w:color w:val="000000"/>
                <w:sz w:val="22"/>
                <w:szCs w:val="22"/>
              </w:rPr>
              <w:t>5%</w:t>
            </w:r>
          </w:p>
        </w:tc>
      </w:tr>
    </w:tbl>
    <w:p w:rsidR="002B1371" w:rsidRPr="006A4F4E" w:rsidRDefault="002B1371" w:rsidP="002B1371">
      <w:pPr>
        <w:rPr>
          <w:rFonts w:ascii="Calibri" w:hAnsi="Calibri" w:cs="Calibri"/>
          <w:i/>
          <w:iCs/>
        </w:rPr>
      </w:pPr>
    </w:p>
    <w:p w:rsidR="00B367A9" w:rsidRDefault="002B1371" w:rsidP="002B1371">
      <w:pPr>
        <w:jc w:val="both"/>
        <w:rPr>
          <w:rFonts w:ascii="Calibri" w:hAnsi="Calibri" w:cs="Calibri"/>
        </w:rPr>
      </w:pPr>
      <w:r w:rsidRPr="002436B1">
        <w:rPr>
          <w:rFonts w:ascii="Calibri" w:hAnsi="Calibri" w:cs="Calibri"/>
        </w:rPr>
        <w:t xml:space="preserve">Les prévisions de volume d’heures supplémentaires données au personnel logistique </w:t>
      </w:r>
      <w:r w:rsidR="00B367A9">
        <w:rPr>
          <w:rFonts w:ascii="Calibri" w:hAnsi="Calibri" w:cs="Calibri"/>
        </w:rPr>
        <w:t>sont</w:t>
      </w:r>
      <w:r w:rsidRPr="002436B1">
        <w:rPr>
          <w:rFonts w:ascii="Calibri" w:hAnsi="Calibri" w:cs="Calibri"/>
        </w:rPr>
        <w:t xml:space="preserve"> orientées à la baisse, et ce quelle</w:t>
      </w:r>
      <w:r w:rsidR="005F2152">
        <w:rPr>
          <w:rFonts w:ascii="Calibri" w:hAnsi="Calibri" w:cs="Calibri"/>
        </w:rPr>
        <w:t>s</w:t>
      </w:r>
      <w:r w:rsidRPr="002436B1">
        <w:rPr>
          <w:rFonts w:ascii="Calibri" w:hAnsi="Calibri" w:cs="Calibri"/>
        </w:rPr>
        <w:t xml:space="preserve"> que soi</w:t>
      </w:r>
      <w:r w:rsidR="005F2152">
        <w:rPr>
          <w:rFonts w:ascii="Calibri" w:hAnsi="Calibri" w:cs="Calibri"/>
        </w:rPr>
        <w:t>en</w:t>
      </w:r>
      <w:r w:rsidRPr="002436B1">
        <w:rPr>
          <w:rFonts w:ascii="Calibri" w:hAnsi="Calibri" w:cs="Calibri"/>
        </w:rPr>
        <w:t>t la taille des établissements</w:t>
      </w:r>
      <w:r w:rsidR="00B367A9">
        <w:rPr>
          <w:rFonts w:ascii="Calibri" w:hAnsi="Calibri" w:cs="Calibri"/>
        </w:rPr>
        <w:t xml:space="preserve"> et les catégories d’emploi</w:t>
      </w:r>
      <w:r w:rsidRPr="002436B1">
        <w:rPr>
          <w:rFonts w:ascii="Calibri" w:hAnsi="Calibri" w:cs="Calibri"/>
        </w:rPr>
        <w:t xml:space="preserve">. </w:t>
      </w:r>
    </w:p>
    <w:p w:rsidR="00B367A9" w:rsidRDefault="00B367A9" w:rsidP="002B1371">
      <w:pPr>
        <w:jc w:val="both"/>
        <w:rPr>
          <w:rFonts w:ascii="Calibri" w:hAnsi="Calibri" w:cs="Calibri"/>
        </w:rPr>
      </w:pPr>
    </w:p>
    <w:p w:rsidR="002B1371" w:rsidRPr="002436B1" w:rsidRDefault="002B1371" w:rsidP="002B1371">
      <w:pPr>
        <w:jc w:val="both"/>
        <w:rPr>
          <w:rFonts w:ascii="Calibri" w:hAnsi="Calibri" w:cs="Calibri"/>
        </w:rPr>
      </w:pPr>
      <w:r w:rsidRPr="002436B1">
        <w:rPr>
          <w:rFonts w:ascii="Calibri" w:hAnsi="Calibri" w:cs="Calibri"/>
        </w:rPr>
        <w:t>En particulier</w:t>
      </w:r>
      <w:r w:rsidR="00F6587F">
        <w:rPr>
          <w:rFonts w:ascii="Calibri" w:hAnsi="Calibri" w:cs="Calibri"/>
        </w:rPr>
        <w:t>,</w:t>
      </w:r>
      <w:r w:rsidRPr="002436B1">
        <w:rPr>
          <w:rFonts w:ascii="Calibri" w:hAnsi="Calibri" w:cs="Calibri"/>
        </w:rPr>
        <w:t xml:space="preserve"> pour les opérateurs logistiques, 1</w:t>
      </w:r>
      <w:r w:rsidR="00B367A9">
        <w:rPr>
          <w:rFonts w:ascii="Calibri" w:hAnsi="Calibri" w:cs="Calibri"/>
        </w:rPr>
        <w:t>6</w:t>
      </w:r>
      <w:r w:rsidRPr="002436B1">
        <w:rPr>
          <w:rFonts w:ascii="Calibri" w:hAnsi="Calibri" w:cs="Calibri"/>
        </w:rPr>
        <w:t xml:space="preserve">% des établissements de </w:t>
      </w:r>
      <w:r w:rsidR="00B367A9">
        <w:rPr>
          <w:rFonts w:ascii="Calibri" w:hAnsi="Calibri" w:cs="Calibri"/>
        </w:rPr>
        <w:t>100</w:t>
      </w:r>
      <w:r w:rsidRPr="002436B1">
        <w:rPr>
          <w:rFonts w:ascii="Calibri" w:hAnsi="Calibri" w:cs="Calibri"/>
        </w:rPr>
        <w:t xml:space="preserve"> salariés </w:t>
      </w:r>
      <w:r w:rsidR="00B367A9">
        <w:rPr>
          <w:rFonts w:ascii="Calibri" w:hAnsi="Calibri" w:cs="Calibri"/>
        </w:rPr>
        <w:t xml:space="preserve">et plus </w:t>
      </w:r>
      <w:r w:rsidRPr="002436B1">
        <w:rPr>
          <w:rFonts w:ascii="Calibri" w:hAnsi="Calibri" w:cs="Calibri"/>
        </w:rPr>
        <w:t xml:space="preserve">anticipent une diminution du volume des heures supplémentaires, contre </w:t>
      </w:r>
      <w:r w:rsidR="00B367A9">
        <w:rPr>
          <w:rFonts w:ascii="Calibri" w:hAnsi="Calibri" w:cs="Calibri"/>
        </w:rPr>
        <w:t>5</w:t>
      </w:r>
      <w:r w:rsidRPr="002436B1">
        <w:rPr>
          <w:rFonts w:ascii="Calibri" w:hAnsi="Calibri" w:cs="Calibri"/>
        </w:rPr>
        <w:t xml:space="preserve">% seulement leur progression. </w:t>
      </w:r>
    </w:p>
    <w:p w:rsidR="002B1371" w:rsidRDefault="002B1371" w:rsidP="002B1371">
      <w:pPr>
        <w:jc w:val="both"/>
        <w:rPr>
          <w:rFonts w:ascii="Calibri" w:hAnsi="Calibri" w:cs="Calibri"/>
        </w:rPr>
      </w:pPr>
    </w:p>
    <w:p w:rsidR="002B1371" w:rsidRPr="002436B1" w:rsidRDefault="002B1371" w:rsidP="002B1371">
      <w:pPr>
        <w:rPr>
          <w:rFonts w:ascii="Calibri" w:hAnsi="Calibri" w:cs="Calibri"/>
          <w:highlight w:val="yellow"/>
        </w:rPr>
      </w:pPr>
    </w:p>
    <w:p w:rsidR="002B1371" w:rsidRPr="002436B1" w:rsidRDefault="002B1371" w:rsidP="002B1371">
      <w:pPr>
        <w:jc w:val="center"/>
        <w:rPr>
          <w:rFonts w:ascii="Calibri" w:hAnsi="Calibri" w:cs="Calibri"/>
          <w:b/>
          <w:bCs/>
        </w:rPr>
      </w:pPr>
    </w:p>
    <w:p w:rsidR="002B1371" w:rsidRPr="00AF11F6" w:rsidRDefault="002B1371" w:rsidP="002B1371">
      <w:pPr>
        <w:rPr>
          <w:rFonts w:ascii="Arial Black" w:hAnsi="Arial Black" w:cs="Calibri"/>
          <w:b/>
          <w:bCs/>
          <w:color w:val="632423"/>
        </w:rPr>
      </w:pPr>
      <w:r w:rsidRPr="00AF11F6">
        <w:rPr>
          <w:rFonts w:ascii="Arial Black" w:hAnsi="Arial Black" w:cs="Calibri"/>
          <w:b/>
          <w:bCs/>
          <w:color w:val="632423"/>
        </w:rPr>
        <w:t>Les perspectives d’emploi pour 201</w:t>
      </w:r>
      <w:r w:rsidR="00A83087">
        <w:rPr>
          <w:rFonts w:ascii="Arial Black" w:hAnsi="Arial Black" w:cs="Calibri"/>
          <w:b/>
          <w:bCs/>
          <w:color w:val="632423"/>
        </w:rPr>
        <w:t>5</w:t>
      </w:r>
      <w:r w:rsidRPr="00AF11F6">
        <w:rPr>
          <w:rFonts w:ascii="Arial Black" w:hAnsi="Arial Black" w:cs="Calibri"/>
          <w:b/>
          <w:bCs/>
          <w:color w:val="632423"/>
        </w:rPr>
        <w:t xml:space="preserve"> </w:t>
      </w:r>
      <w:r w:rsidR="00A83087">
        <w:rPr>
          <w:rFonts w:ascii="Arial Black" w:hAnsi="Arial Black" w:cs="Calibri"/>
          <w:b/>
          <w:bCs/>
          <w:color w:val="632423"/>
        </w:rPr>
        <w:t>ne sont pas orientées favorablement</w:t>
      </w:r>
    </w:p>
    <w:p w:rsidR="002B1371" w:rsidRPr="002436B1" w:rsidRDefault="002B1371" w:rsidP="002B1371">
      <w:pPr>
        <w:jc w:val="both"/>
        <w:rPr>
          <w:rFonts w:ascii="Calibri" w:hAnsi="Calibri" w:cs="Calibri"/>
        </w:rPr>
      </w:pPr>
    </w:p>
    <w:p w:rsidR="002B1371" w:rsidRDefault="002B1371" w:rsidP="002B1371">
      <w:pPr>
        <w:jc w:val="center"/>
        <w:rPr>
          <w:rFonts w:ascii="Calibri" w:hAnsi="Calibri" w:cs="Calibri"/>
          <w:b/>
          <w:bCs/>
        </w:rPr>
      </w:pPr>
      <w:r w:rsidRPr="002436B1">
        <w:rPr>
          <w:rFonts w:ascii="Calibri" w:hAnsi="Calibri" w:cs="Calibri"/>
          <w:b/>
          <w:bCs/>
        </w:rPr>
        <w:t>Prévision du niveau des effectifs logistiques par catégorie d’emploi pour 201</w:t>
      </w:r>
      <w:r w:rsidR="001037F0">
        <w:rPr>
          <w:rFonts w:ascii="Calibri" w:hAnsi="Calibri" w:cs="Calibri"/>
          <w:b/>
          <w:bCs/>
        </w:rPr>
        <w:t>5</w:t>
      </w:r>
    </w:p>
    <w:p w:rsidR="00FA29EA" w:rsidRPr="002436B1" w:rsidRDefault="00FA29EA" w:rsidP="002B1371">
      <w:pPr>
        <w:jc w:val="center"/>
        <w:rPr>
          <w:rFonts w:ascii="Calibri" w:hAnsi="Calibri" w:cs="Calibri"/>
          <w:b/>
          <w:bCs/>
        </w:rPr>
      </w:pPr>
    </w:p>
    <w:p w:rsidR="002B1371" w:rsidRPr="002436B1" w:rsidRDefault="002B1371" w:rsidP="002B1371">
      <w:pPr>
        <w:rPr>
          <w:rFonts w:ascii="Calibri" w:hAnsi="Calibri" w:cs="Calibri"/>
          <w:i/>
          <w:iCs/>
        </w:rPr>
      </w:pPr>
      <w:r w:rsidRPr="002436B1">
        <w:rPr>
          <w:rFonts w:ascii="Calibri" w:hAnsi="Calibri" w:cs="Calibri"/>
          <w:i/>
          <w:iCs/>
        </w:rPr>
        <w:t>Etablissements de 100 salariés et plus</w:t>
      </w:r>
    </w:p>
    <w:tbl>
      <w:tblPr>
        <w:tblStyle w:val="Listemoyenne1-Accent3"/>
        <w:tblW w:w="4989" w:type="pct"/>
        <w:tblLook w:val="04A0" w:firstRow="1" w:lastRow="0" w:firstColumn="1" w:lastColumn="0" w:noHBand="0" w:noVBand="1"/>
      </w:tblPr>
      <w:tblGrid>
        <w:gridCol w:w="3266"/>
        <w:gridCol w:w="974"/>
        <w:gridCol w:w="971"/>
        <w:gridCol w:w="986"/>
        <w:gridCol w:w="971"/>
        <w:gridCol w:w="1239"/>
        <w:gridCol w:w="854"/>
        <w:gridCol w:w="1068"/>
        <w:gridCol w:w="857"/>
        <w:gridCol w:w="1071"/>
        <w:gridCol w:w="854"/>
        <w:gridCol w:w="860"/>
        <w:gridCol w:w="1065"/>
      </w:tblGrid>
      <w:tr w:rsidR="00EC669E" w:rsidRPr="00FA29EA" w:rsidTr="001037F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86" w:type="pct"/>
            <w:tcBorders>
              <w:top w:val="single" w:sz="8" w:space="0" w:color="9BBB59" w:themeColor="accent3"/>
              <w:bottom w:val="nil"/>
              <w:right w:val="single" w:sz="8" w:space="0" w:color="9BBB59" w:themeColor="accent3"/>
            </w:tcBorders>
            <w:noWrap/>
            <w:vAlign w:val="center"/>
          </w:tcPr>
          <w:p w:rsidR="002B1371" w:rsidRPr="00FA29EA" w:rsidRDefault="002B1371" w:rsidP="00F501C6">
            <w:pPr>
              <w:rPr>
                <w:rFonts w:asciiTheme="minorHAnsi" w:hAnsiTheme="minorHAnsi" w:cstheme="minorHAnsi"/>
                <w:b w:val="0"/>
                <w:bCs w:val="0"/>
                <w:sz w:val="20"/>
                <w:szCs w:val="20"/>
              </w:rPr>
            </w:pPr>
            <w:r w:rsidRPr="00FA29EA">
              <w:rPr>
                <w:rFonts w:asciiTheme="minorHAnsi" w:hAnsiTheme="minorHAnsi" w:cstheme="minorHAnsi"/>
                <w:b w:val="0"/>
                <w:bCs w:val="0"/>
                <w:sz w:val="20"/>
                <w:szCs w:val="20"/>
              </w:rPr>
              <w:t> </w:t>
            </w:r>
          </w:p>
        </w:tc>
        <w:tc>
          <w:tcPr>
            <w:tcW w:w="1298" w:type="pct"/>
            <w:gridSpan w:val="4"/>
            <w:tcBorders>
              <w:top w:val="single" w:sz="8" w:space="0" w:color="9BBB59" w:themeColor="accent3"/>
              <w:left w:val="single" w:sz="8" w:space="0" w:color="9BBB59" w:themeColor="accent3"/>
              <w:bottom w:val="nil"/>
              <w:right w:val="single" w:sz="8" w:space="0" w:color="9BBB59" w:themeColor="accent3"/>
            </w:tcBorders>
            <w:noWrap/>
            <w:vAlign w:val="center"/>
          </w:tcPr>
          <w:p w:rsidR="002B1371" w:rsidRPr="00FA29EA" w:rsidRDefault="002B1371"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Cadres</w:t>
            </w:r>
          </w:p>
        </w:tc>
        <w:tc>
          <w:tcPr>
            <w:tcW w:w="1336" w:type="pct"/>
            <w:gridSpan w:val="4"/>
            <w:tcBorders>
              <w:top w:val="single" w:sz="8" w:space="0" w:color="9BBB59" w:themeColor="accent3"/>
              <w:left w:val="single" w:sz="8" w:space="0" w:color="9BBB59" w:themeColor="accent3"/>
              <w:bottom w:val="nil"/>
              <w:right w:val="single" w:sz="8" w:space="0" w:color="9BBB59" w:themeColor="accent3"/>
            </w:tcBorders>
            <w:vAlign w:val="center"/>
          </w:tcPr>
          <w:p w:rsidR="002B1371" w:rsidRPr="00FA29EA" w:rsidRDefault="002B1371"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Techniciens/Agents de maîtrise</w:t>
            </w:r>
          </w:p>
        </w:tc>
        <w:tc>
          <w:tcPr>
            <w:tcW w:w="1280" w:type="pct"/>
            <w:gridSpan w:val="4"/>
            <w:tcBorders>
              <w:top w:val="single" w:sz="8" w:space="0" w:color="9BBB59" w:themeColor="accent3"/>
              <w:left w:val="single" w:sz="8" w:space="0" w:color="9BBB59" w:themeColor="accent3"/>
              <w:bottom w:val="nil"/>
            </w:tcBorders>
            <w:vAlign w:val="center"/>
          </w:tcPr>
          <w:p w:rsidR="002B1371" w:rsidRPr="00FA29EA" w:rsidRDefault="002B1371"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Opérateurs</w:t>
            </w:r>
          </w:p>
        </w:tc>
      </w:tr>
      <w:tr w:rsidR="001037F0" w:rsidRPr="00FA29EA" w:rsidTr="001037F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86" w:type="pct"/>
            <w:tcBorders>
              <w:top w:val="nil"/>
              <w:bottom w:val="single" w:sz="8" w:space="0" w:color="9BBB59" w:themeColor="accent3"/>
              <w:right w:val="single" w:sz="8" w:space="0" w:color="9BBB59" w:themeColor="accent3"/>
            </w:tcBorders>
            <w:noWrap/>
            <w:vAlign w:val="center"/>
          </w:tcPr>
          <w:p w:rsidR="001037F0" w:rsidRPr="00FA29EA" w:rsidRDefault="001037F0" w:rsidP="00F501C6">
            <w:pPr>
              <w:rPr>
                <w:rFonts w:asciiTheme="minorHAnsi" w:hAnsiTheme="minorHAnsi" w:cstheme="minorHAnsi"/>
                <w:b w:val="0"/>
                <w:bCs w:val="0"/>
                <w:sz w:val="20"/>
                <w:szCs w:val="20"/>
              </w:rPr>
            </w:pPr>
          </w:p>
        </w:tc>
        <w:tc>
          <w:tcPr>
            <w:tcW w:w="324" w:type="pct"/>
            <w:tcBorders>
              <w:top w:val="nil"/>
              <w:left w:val="single" w:sz="8" w:space="0" w:color="9BBB59" w:themeColor="accent3"/>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2012</w:t>
            </w:r>
          </w:p>
        </w:tc>
        <w:tc>
          <w:tcPr>
            <w:tcW w:w="323" w:type="pct"/>
            <w:tcBorders>
              <w:top w:val="nil"/>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2013</w:t>
            </w:r>
          </w:p>
        </w:tc>
        <w:tc>
          <w:tcPr>
            <w:tcW w:w="328" w:type="pct"/>
            <w:tcBorders>
              <w:top w:val="nil"/>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2014</w:t>
            </w:r>
          </w:p>
        </w:tc>
        <w:tc>
          <w:tcPr>
            <w:tcW w:w="323" w:type="pct"/>
            <w:tcBorders>
              <w:top w:val="nil"/>
              <w:bottom w:val="single" w:sz="8" w:space="0" w:color="9BBB59" w:themeColor="accent3"/>
              <w:right w:val="single" w:sz="8" w:space="0" w:color="9BBB59" w:themeColor="accent3"/>
            </w:tcBorders>
            <w:vAlign w:val="center"/>
          </w:tcPr>
          <w:p w:rsidR="001037F0" w:rsidRPr="00FA29EA" w:rsidRDefault="001037F0" w:rsidP="001037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w:t>
            </w:r>
            <w:r>
              <w:rPr>
                <w:rFonts w:asciiTheme="minorHAnsi" w:hAnsiTheme="minorHAnsi" w:cstheme="minorHAnsi"/>
                <w:bCs/>
                <w:sz w:val="20"/>
                <w:szCs w:val="20"/>
              </w:rPr>
              <w:t>5</w:t>
            </w:r>
          </w:p>
        </w:tc>
        <w:tc>
          <w:tcPr>
            <w:tcW w:w="412" w:type="pct"/>
            <w:tcBorders>
              <w:top w:val="nil"/>
              <w:left w:val="single" w:sz="8" w:space="0" w:color="9BBB59" w:themeColor="accent3"/>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2012</w:t>
            </w:r>
          </w:p>
        </w:tc>
        <w:tc>
          <w:tcPr>
            <w:tcW w:w="284" w:type="pct"/>
            <w:tcBorders>
              <w:top w:val="nil"/>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2013</w:t>
            </w:r>
          </w:p>
        </w:tc>
        <w:tc>
          <w:tcPr>
            <w:tcW w:w="355" w:type="pct"/>
            <w:tcBorders>
              <w:top w:val="nil"/>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2014</w:t>
            </w:r>
          </w:p>
        </w:tc>
        <w:tc>
          <w:tcPr>
            <w:tcW w:w="285" w:type="pct"/>
            <w:tcBorders>
              <w:top w:val="nil"/>
              <w:bottom w:val="single" w:sz="8" w:space="0" w:color="9BBB59" w:themeColor="accent3"/>
              <w:right w:val="single" w:sz="8" w:space="0" w:color="9BBB59" w:themeColor="accent3"/>
            </w:tcBorders>
            <w:vAlign w:val="center"/>
          </w:tcPr>
          <w:p w:rsidR="001037F0" w:rsidRPr="00FA29EA" w:rsidRDefault="001037F0" w:rsidP="001037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w:t>
            </w:r>
            <w:r>
              <w:rPr>
                <w:rFonts w:asciiTheme="minorHAnsi" w:hAnsiTheme="minorHAnsi" w:cstheme="minorHAnsi"/>
                <w:bCs/>
                <w:sz w:val="20"/>
                <w:szCs w:val="20"/>
              </w:rPr>
              <w:t>5</w:t>
            </w:r>
          </w:p>
        </w:tc>
        <w:tc>
          <w:tcPr>
            <w:tcW w:w="356" w:type="pct"/>
            <w:tcBorders>
              <w:top w:val="nil"/>
              <w:left w:val="single" w:sz="8" w:space="0" w:color="9BBB59" w:themeColor="accent3"/>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2012</w:t>
            </w:r>
          </w:p>
        </w:tc>
        <w:tc>
          <w:tcPr>
            <w:tcW w:w="284" w:type="pct"/>
            <w:tcBorders>
              <w:top w:val="nil"/>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2013</w:t>
            </w:r>
          </w:p>
        </w:tc>
        <w:tc>
          <w:tcPr>
            <w:tcW w:w="286" w:type="pct"/>
            <w:tcBorders>
              <w:top w:val="nil"/>
              <w:bottom w:val="single" w:sz="8" w:space="0" w:color="9BBB59" w:themeColor="accent3"/>
            </w:tcBorders>
            <w:vAlign w:val="center"/>
          </w:tcPr>
          <w:p w:rsidR="001037F0" w:rsidRPr="00FA29EA"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2014</w:t>
            </w:r>
          </w:p>
        </w:tc>
        <w:tc>
          <w:tcPr>
            <w:tcW w:w="354" w:type="pct"/>
            <w:tcBorders>
              <w:top w:val="nil"/>
              <w:bottom w:val="single" w:sz="8" w:space="0" w:color="9BBB59" w:themeColor="accent3"/>
            </w:tcBorders>
            <w:vAlign w:val="center"/>
          </w:tcPr>
          <w:p w:rsidR="001037F0" w:rsidRPr="00FA29EA" w:rsidRDefault="001037F0" w:rsidP="001037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FA29EA">
              <w:rPr>
                <w:rFonts w:asciiTheme="minorHAnsi" w:hAnsiTheme="minorHAnsi" w:cstheme="minorHAnsi"/>
                <w:bCs/>
                <w:sz w:val="20"/>
                <w:szCs w:val="20"/>
              </w:rPr>
              <w:t>201</w:t>
            </w:r>
            <w:r>
              <w:rPr>
                <w:rFonts w:asciiTheme="minorHAnsi" w:hAnsiTheme="minorHAnsi" w:cstheme="minorHAnsi"/>
                <w:bCs/>
                <w:sz w:val="20"/>
                <w:szCs w:val="20"/>
              </w:rPr>
              <w:t>5</w:t>
            </w:r>
          </w:p>
        </w:tc>
      </w:tr>
      <w:tr w:rsidR="001037F0" w:rsidRPr="004138F5" w:rsidTr="00B41DC8">
        <w:trPr>
          <w:trHeight w:val="345"/>
        </w:trPr>
        <w:tc>
          <w:tcPr>
            <w:cnfStyle w:val="001000000000" w:firstRow="0" w:lastRow="0" w:firstColumn="1" w:lastColumn="0" w:oddVBand="0" w:evenVBand="0" w:oddHBand="0" w:evenHBand="0" w:firstRowFirstColumn="0" w:firstRowLastColumn="0" w:lastRowFirstColumn="0" w:lastRowLastColumn="0"/>
            <w:tcW w:w="1086" w:type="pct"/>
            <w:tcBorders>
              <w:top w:val="single" w:sz="8" w:space="0" w:color="9BBB59" w:themeColor="accent3"/>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Augmentation</w:t>
            </w:r>
          </w:p>
        </w:tc>
        <w:tc>
          <w:tcPr>
            <w:tcW w:w="324" w:type="pct"/>
            <w:tcBorders>
              <w:top w:val="single" w:sz="8" w:space="0" w:color="9BBB59" w:themeColor="accent3"/>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23"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328"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23" w:type="pct"/>
            <w:tcBorders>
              <w:top w:val="single" w:sz="8" w:space="0" w:color="9BBB59" w:themeColor="accent3"/>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w:t>
            </w:r>
          </w:p>
        </w:tc>
        <w:tc>
          <w:tcPr>
            <w:tcW w:w="412" w:type="pct"/>
            <w:tcBorders>
              <w:top w:val="single" w:sz="8" w:space="0" w:color="9BBB59" w:themeColor="accent3"/>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284"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55"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285" w:type="pct"/>
            <w:tcBorders>
              <w:top w:val="single" w:sz="8" w:space="0" w:color="9BBB59" w:themeColor="accent3"/>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4%</w:t>
            </w:r>
          </w:p>
        </w:tc>
        <w:tc>
          <w:tcPr>
            <w:tcW w:w="356" w:type="pct"/>
            <w:tcBorders>
              <w:top w:val="single" w:sz="8" w:space="0" w:color="9BBB59" w:themeColor="accent3"/>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12%</w:t>
            </w:r>
          </w:p>
        </w:tc>
        <w:tc>
          <w:tcPr>
            <w:tcW w:w="284"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11%</w:t>
            </w:r>
          </w:p>
        </w:tc>
        <w:tc>
          <w:tcPr>
            <w:tcW w:w="286"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13%</w:t>
            </w:r>
          </w:p>
        </w:tc>
        <w:tc>
          <w:tcPr>
            <w:tcW w:w="354"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10%</w:t>
            </w:r>
          </w:p>
        </w:tc>
      </w:tr>
      <w:tr w:rsidR="001037F0" w:rsidRPr="004138F5" w:rsidTr="00B41D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86" w:type="pct"/>
            <w:tcBorders>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Stabilité</w:t>
            </w:r>
          </w:p>
        </w:tc>
        <w:tc>
          <w:tcPr>
            <w:tcW w:w="324"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79%</w:t>
            </w:r>
          </w:p>
        </w:tc>
        <w:tc>
          <w:tcPr>
            <w:tcW w:w="323"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85%</w:t>
            </w:r>
          </w:p>
        </w:tc>
        <w:tc>
          <w:tcPr>
            <w:tcW w:w="328"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78%</w:t>
            </w:r>
          </w:p>
        </w:tc>
        <w:tc>
          <w:tcPr>
            <w:tcW w:w="323" w:type="pct"/>
            <w:tcBorders>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87%</w:t>
            </w:r>
          </w:p>
        </w:tc>
        <w:tc>
          <w:tcPr>
            <w:tcW w:w="412"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76%</w:t>
            </w:r>
          </w:p>
        </w:tc>
        <w:tc>
          <w:tcPr>
            <w:tcW w:w="28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83%</w:t>
            </w:r>
          </w:p>
        </w:tc>
        <w:tc>
          <w:tcPr>
            <w:tcW w:w="355"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78%</w:t>
            </w:r>
          </w:p>
        </w:tc>
        <w:tc>
          <w:tcPr>
            <w:tcW w:w="285" w:type="pct"/>
            <w:tcBorders>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84%</w:t>
            </w:r>
          </w:p>
        </w:tc>
        <w:tc>
          <w:tcPr>
            <w:tcW w:w="356"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69%</w:t>
            </w:r>
          </w:p>
        </w:tc>
        <w:tc>
          <w:tcPr>
            <w:tcW w:w="28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73%</w:t>
            </w:r>
          </w:p>
        </w:tc>
        <w:tc>
          <w:tcPr>
            <w:tcW w:w="286"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72%</w:t>
            </w:r>
          </w:p>
        </w:tc>
        <w:tc>
          <w:tcPr>
            <w:tcW w:w="35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74%</w:t>
            </w:r>
          </w:p>
        </w:tc>
      </w:tr>
      <w:tr w:rsidR="001037F0" w:rsidRPr="004138F5" w:rsidTr="00B41DC8">
        <w:trPr>
          <w:trHeight w:val="345"/>
        </w:trPr>
        <w:tc>
          <w:tcPr>
            <w:cnfStyle w:val="001000000000" w:firstRow="0" w:lastRow="0" w:firstColumn="1" w:lastColumn="0" w:oddVBand="0" w:evenVBand="0" w:oddHBand="0" w:evenHBand="0" w:firstRowFirstColumn="0" w:firstRowLastColumn="0" w:lastRowFirstColumn="0" w:lastRowLastColumn="0"/>
            <w:tcW w:w="1086" w:type="pct"/>
            <w:tcBorders>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Diminution</w:t>
            </w:r>
          </w:p>
        </w:tc>
        <w:tc>
          <w:tcPr>
            <w:tcW w:w="324" w:type="pct"/>
            <w:tcBorders>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w:t>
            </w:r>
          </w:p>
        </w:tc>
        <w:tc>
          <w:tcPr>
            <w:tcW w:w="323"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328"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4%</w:t>
            </w:r>
          </w:p>
        </w:tc>
        <w:tc>
          <w:tcPr>
            <w:tcW w:w="323" w:type="pct"/>
            <w:tcBorders>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4%</w:t>
            </w:r>
          </w:p>
        </w:tc>
        <w:tc>
          <w:tcPr>
            <w:tcW w:w="412" w:type="pct"/>
            <w:tcBorders>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284"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w:t>
            </w:r>
          </w:p>
        </w:tc>
        <w:tc>
          <w:tcPr>
            <w:tcW w:w="355"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5%</w:t>
            </w:r>
          </w:p>
        </w:tc>
        <w:tc>
          <w:tcPr>
            <w:tcW w:w="285" w:type="pct"/>
            <w:tcBorders>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356" w:type="pct"/>
            <w:tcBorders>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w:t>
            </w:r>
          </w:p>
        </w:tc>
        <w:tc>
          <w:tcPr>
            <w:tcW w:w="284"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12%</w:t>
            </w:r>
          </w:p>
        </w:tc>
        <w:tc>
          <w:tcPr>
            <w:tcW w:w="286"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w:t>
            </w:r>
          </w:p>
        </w:tc>
        <w:tc>
          <w:tcPr>
            <w:tcW w:w="354"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11%</w:t>
            </w:r>
          </w:p>
        </w:tc>
      </w:tr>
      <w:tr w:rsidR="001037F0" w:rsidRPr="004138F5" w:rsidTr="00B41D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86" w:type="pct"/>
            <w:tcBorders>
              <w:bottom w:val="single" w:sz="8" w:space="0" w:color="9BBB59" w:themeColor="accent3"/>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Ne sait pas</w:t>
            </w:r>
          </w:p>
        </w:tc>
        <w:tc>
          <w:tcPr>
            <w:tcW w:w="324" w:type="pct"/>
            <w:tcBorders>
              <w:left w:val="single" w:sz="8" w:space="0" w:color="9BBB59" w:themeColor="accent3"/>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16%</w:t>
            </w:r>
          </w:p>
        </w:tc>
        <w:tc>
          <w:tcPr>
            <w:tcW w:w="323"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9%</w:t>
            </w:r>
          </w:p>
        </w:tc>
        <w:tc>
          <w:tcPr>
            <w:tcW w:w="328"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15%</w:t>
            </w:r>
          </w:p>
        </w:tc>
        <w:tc>
          <w:tcPr>
            <w:tcW w:w="323" w:type="pct"/>
            <w:tcBorders>
              <w:bottom w:val="single" w:sz="8" w:space="0" w:color="9BBB59" w:themeColor="accent3"/>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412" w:type="pct"/>
            <w:tcBorders>
              <w:left w:val="single" w:sz="8" w:space="0" w:color="9BBB59" w:themeColor="accent3"/>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15%</w:t>
            </w:r>
          </w:p>
        </w:tc>
        <w:tc>
          <w:tcPr>
            <w:tcW w:w="284"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5%</w:t>
            </w:r>
          </w:p>
        </w:tc>
        <w:tc>
          <w:tcPr>
            <w:tcW w:w="355"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11%</w:t>
            </w:r>
          </w:p>
        </w:tc>
        <w:tc>
          <w:tcPr>
            <w:tcW w:w="285" w:type="pct"/>
            <w:tcBorders>
              <w:bottom w:val="single" w:sz="8" w:space="0" w:color="9BBB59" w:themeColor="accent3"/>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56"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12%</w:t>
            </w:r>
          </w:p>
        </w:tc>
        <w:tc>
          <w:tcPr>
            <w:tcW w:w="28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4%</w:t>
            </w:r>
          </w:p>
        </w:tc>
        <w:tc>
          <w:tcPr>
            <w:tcW w:w="286"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9%</w:t>
            </w:r>
          </w:p>
        </w:tc>
        <w:tc>
          <w:tcPr>
            <w:tcW w:w="35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4%</w:t>
            </w:r>
          </w:p>
        </w:tc>
      </w:tr>
    </w:tbl>
    <w:p w:rsidR="002B1371" w:rsidRPr="00A56B21" w:rsidRDefault="002B1371" w:rsidP="002B1371">
      <w:pPr>
        <w:rPr>
          <w:rFonts w:ascii="Calibri" w:hAnsi="Calibri" w:cs="Calibri"/>
          <w:i/>
          <w:iCs/>
          <w:szCs w:val="20"/>
        </w:rPr>
      </w:pPr>
      <w:r w:rsidRPr="00A56B21">
        <w:rPr>
          <w:rFonts w:ascii="Calibri" w:hAnsi="Calibri" w:cs="Calibri"/>
          <w:i/>
          <w:iCs/>
          <w:szCs w:val="20"/>
        </w:rPr>
        <w:t>Etablissements de 50 à 99 salariés</w:t>
      </w:r>
    </w:p>
    <w:tbl>
      <w:tblPr>
        <w:tblStyle w:val="Listemoyenne1-Accent3"/>
        <w:tblW w:w="5000" w:type="pct"/>
        <w:tblLook w:val="04A0" w:firstRow="1" w:lastRow="0" w:firstColumn="1" w:lastColumn="0" w:noHBand="0" w:noVBand="1"/>
      </w:tblPr>
      <w:tblGrid>
        <w:gridCol w:w="3211"/>
        <w:gridCol w:w="962"/>
        <w:gridCol w:w="962"/>
        <w:gridCol w:w="973"/>
        <w:gridCol w:w="961"/>
        <w:gridCol w:w="1302"/>
        <w:gridCol w:w="958"/>
        <w:gridCol w:w="958"/>
        <w:gridCol w:w="958"/>
        <w:gridCol w:w="898"/>
        <w:gridCol w:w="961"/>
        <w:gridCol w:w="989"/>
        <w:gridCol w:w="976"/>
      </w:tblGrid>
      <w:tr w:rsidR="00EC669E" w:rsidRPr="004138F5" w:rsidTr="001037F0">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065" w:type="pct"/>
            <w:tcBorders>
              <w:top w:val="single" w:sz="8" w:space="0" w:color="9BBB59" w:themeColor="accent3"/>
              <w:bottom w:val="nil"/>
              <w:right w:val="single" w:sz="8" w:space="0" w:color="9BBB59" w:themeColor="accent3"/>
            </w:tcBorders>
            <w:noWrap/>
            <w:vAlign w:val="center"/>
          </w:tcPr>
          <w:p w:rsidR="002B1371" w:rsidRPr="004138F5" w:rsidRDefault="002B1371"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  </w:t>
            </w:r>
          </w:p>
        </w:tc>
        <w:tc>
          <w:tcPr>
            <w:tcW w:w="1280" w:type="pct"/>
            <w:gridSpan w:val="4"/>
            <w:tcBorders>
              <w:top w:val="single" w:sz="8" w:space="0" w:color="9BBB59" w:themeColor="accent3"/>
              <w:left w:val="single" w:sz="8" w:space="0" w:color="9BBB59" w:themeColor="accent3"/>
              <w:bottom w:val="nil"/>
              <w:right w:val="single" w:sz="8" w:space="0" w:color="9BBB59" w:themeColor="accent3"/>
            </w:tcBorders>
            <w:noWrap/>
            <w:vAlign w:val="center"/>
          </w:tcPr>
          <w:p w:rsidR="002B1371" w:rsidRPr="004138F5" w:rsidRDefault="002B1371"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Cadres</w:t>
            </w:r>
          </w:p>
        </w:tc>
        <w:tc>
          <w:tcPr>
            <w:tcW w:w="1386" w:type="pct"/>
            <w:gridSpan w:val="4"/>
            <w:tcBorders>
              <w:top w:val="single" w:sz="8" w:space="0" w:color="9BBB59" w:themeColor="accent3"/>
              <w:left w:val="single" w:sz="8" w:space="0" w:color="9BBB59" w:themeColor="accent3"/>
              <w:bottom w:val="nil"/>
              <w:right w:val="single" w:sz="8" w:space="0" w:color="9BBB59" w:themeColor="accent3"/>
            </w:tcBorders>
            <w:vAlign w:val="center"/>
          </w:tcPr>
          <w:p w:rsidR="002B1371" w:rsidRPr="004138F5" w:rsidRDefault="002B1371"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Techniciens/Agents de maîtrise</w:t>
            </w:r>
          </w:p>
        </w:tc>
        <w:tc>
          <w:tcPr>
            <w:tcW w:w="1269" w:type="pct"/>
            <w:gridSpan w:val="4"/>
            <w:tcBorders>
              <w:top w:val="single" w:sz="8" w:space="0" w:color="9BBB59" w:themeColor="accent3"/>
              <w:left w:val="single" w:sz="8" w:space="0" w:color="9BBB59" w:themeColor="accent3"/>
              <w:bottom w:val="nil"/>
            </w:tcBorders>
            <w:vAlign w:val="center"/>
          </w:tcPr>
          <w:p w:rsidR="002B1371" w:rsidRPr="004138F5" w:rsidRDefault="002B1371" w:rsidP="00F501C6">
            <w:pPr>
              <w:ind w:left="-458" w:firstLine="4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Opérateurs</w:t>
            </w:r>
          </w:p>
        </w:tc>
      </w:tr>
      <w:tr w:rsidR="001037F0" w:rsidRPr="004138F5" w:rsidTr="001037F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65" w:type="pct"/>
            <w:tcBorders>
              <w:top w:val="nil"/>
              <w:bottom w:val="single" w:sz="8" w:space="0" w:color="9BBB59" w:themeColor="accent3"/>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p>
        </w:tc>
        <w:tc>
          <w:tcPr>
            <w:tcW w:w="319" w:type="pct"/>
            <w:tcBorders>
              <w:top w:val="nil"/>
              <w:left w:val="single" w:sz="8" w:space="0" w:color="9BBB59" w:themeColor="accent3"/>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2012</w:t>
            </w:r>
          </w:p>
        </w:tc>
        <w:tc>
          <w:tcPr>
            <w:tcW w:w="319" w:type="pct"/>
            <w:tcBorders>
              <w:top w:val="nil"/>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2013</w:t>
            </w:r>
          </w:p>
        </w:tc>
        <w:tc>
          <w:tcPr>
            <w:tcW w:w="323" w:type="pct"/>
            <w:tcBorders>
              <w:top w:val="nil"/>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2014</w:t>
            </w:r>
          </w:p>
        </w:tc>
        <w:tc>
          <w:tcPr>
            <w:tcW w:w="319" w:type="pct"/>
            <w:tcBorders>
              <w:top w:val="nil"/>
              <w:bottom w:val="single" w:sz="8" w:space="0" w:color="9BBB59" w:themeColor="accent3"/>
              <w:right w:val="single" w:sz="8" w:space="0" w:color="9BBB59" w:themeColor="accent3"/>
            </w:tcBorders>
            <w:vAlign w:val="center"/>
          </w:tcPr>
          <w:p w:rsidR="001037F0" w:rsidRPr="004138F5" w:rsidRDefault="001037F0" w:rsidP="001037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2015</w:t>
            </w:r>
          </w:p>
        </w:tc>
        <w:tc>
          <w:tcPr>
            <w:tcW w:w="432" w:type="pct"/>
            <w:tcBorders>
              <w:top w:val="nil"/>
              <w:left w:val="single" w:sz="8" w:space="0" w:color="9BBB59" w:themeColor="accent3"/>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2012</w:t>
            </w:r>
          </w:p>
        </w:tc>
        <w:tc>
          <w:tcPr>
            <w:tcW w:w="318" w:type="pct"/>
            <w:tcBorders>
              <w:top w:val="nil"/>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2013</w:t>
            </w:r>
          </w:p>
        </w:tc>
        <w:tc>
          <w:tcPr>
            <w:tcW w:w="318" w:type="pct"/>
            <w:tcBorders>
              <w:top w:val="nil"/>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2014</w:t>
            </w:r>
          </w:p>
        </w:tc>
        <w:tc>
          <w:tcPr>
            <w:tcW w:w="318" w:type="pct"/>
            <w:tcBorders>
              <w:top w:val="nil"/>
              <w:bottom w:val="single" w:sz="8" w:space="0" w:color="9BBB59" w:themeColor="accent3"/>
              <w:right w:val="single" w:sz="8" w:space="0" w:color="9BBB59" w:themeColor="accent3"/>
            </w:tcBorders>
            <w:vAlign w:val="center"/>
          </w:tcPr>
          <w:p w:rsidR="001037F0" w:rsidRPr="004138F5" w:rsidRDefault="001037F0" w:rsidP="001037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2015</w:t>
            </w:r>
          </w:p>
        </w:tc>
        <w:tc>
          <w:tcPr>
            <w:tcW w:w="298" w:type="pct"/>
            <w:tcBorders>
              <w:top w:val="nil"/>
              <w:left w:val="single" w:sz="8" w:space="0" w:color="9BBB59" w:themeColor="accent3"/>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2012</w:t>
            </w:r>
          </w:p>
        </w:tc>
        <w:tc>
          <w:tcPr>
            <w:tcW w:w="319" w:type="pct"/>
            <w:tcBorders>
              <w:top w:val="nil"/>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2013</w:t>
            </w:r>
          </w:p>
        </w:tc>
        <w:tc>
          <w:tcPr>
            <w:tcW w:w="328" w:type="pct"/>
            <w:tcBorders>
              <w:top w:val="nil"/>
              <w:bottom w:val="single" w:sz="8" w:space="0" w:color="9BBB59" w:themeColor="accent3"/>
            </w:tcBorders>
            <w:vAlign w:val="center"/>
          </w:tcPr>
          <w:p w:rsidR="001037F0" w:rsidRPr="004138F5"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2014</w:t>
            </w:r>
          </w:p>
        </w:tc>
        <w:tc>
          <w:tcPr>
            <w:tcW w:w="324" w:type="pct"/>
            <w:tcBorders>
              <w:top w:val="nil"/>
              <w:bottom w:val="single" w:sz="8" w:space="0" w:color="9BBB59" w:themeColor="accent3"/>
            </w:tcBorders>
            <w:vAlign w:val="center"/>
          </w:tcPr>
          <w:p w:rsidR="001037F0" w:rsidRPr="004138F5" w:rsidRDefault="001037F0" w:rsidP="001037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2015</w:t>
            </w:r>
          </w:p>
        </w:tc>
      </w:tr>
      <w:tr w:rsidR="001037F0" w:rsidRPr="004138F5" w:rsidTr="00B41DC8">
        <w:trPr>
          <w:trHeight w:val="345"/>
        </w:trPr>
        <w:tc>
          <w:tcPr>
            <w:cnfStyle w:val="001000000000" w:firstRow="0" w:lastRow="0" w:firstColumn="1" w:lastColumn="0" w:oddVBand="0" w:evenVBand="0" w:oddHBand="0" w:evenHBand="0" w:firstRowFirstColumn="0" w:firstRowLastColumn="0" w:lastRowFirstColumn="0" w:lastRowLastColumn="0"/>
            <w:tcW w:w="1065" w:type="pct"/>
            <w:tcBorders>
              <w:top w:val="single" w:sz="8" w:space="0" w:color="9BBB59" w:themeColor="accent3"/>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Augmentation</w:t>
            </w:r>
          </w:p>
        </w:tc>
        <w:tc>
          <w:tcPr>
            <w:tcW w:w="319" w:type="pct"/>
            <w:tcBorders>
              <w:top w:val="single" w:sz="8" w:space="0" w:color="9BBB59" w:themeColor="accent3"/>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19"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323"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19" w:type="pct"/>
            <w:tcBorders>
              <w:top w:val="single" w:sz="8" w:space="0" w:color="9BBB59" w:themeColor="accent3"/>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0%</w:t>
            </w:r>
          </w:p>
        </w:tc>
        <w:tc>
          <w:tcPr>
            <w:tcW w:w="432" w:type="pct"/>
            <w:tcBorders>
              <w:top w:val="single" w:sz="8" w:space="0" w:color="9BBB59" w:themeColor="accent3"/>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w:t>
            </w:r>
          </w:p>
        </w:tc>
        <w:tc>
          <w:tcPr>
            <w:tcW w:w="318"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w:t>
            </w:r>
          </w:p>
        </w:tc>
        <w:tc>
          <w:tcPr>
            <w:tcW w:w="318"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9%</w:t>
            </w:r>
          </w:p>
        </w:tc>
        <w:tc>
          <w:tcPr>
            <w:tcW w:w="318" w:type="pct"/>
            <w:tcBorders>
              <w:top w:val="single" w:sz="8" w:space="0" w:color="9BBB59" w:themeColor="accent3"/>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298" w:type="pct"/>
            <w:tcBorders>
              <w:top w:val="single" w:sz="8" w:space="0" w:color="9BBB59" w:themeColor="accent3"/>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13%</w:t>
            </w:r>
          </w:p>
        </w:tc>
        <w:tc>
          <w:tcPr>
            <w:tcW w:w="319"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328"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13%</w:t>
            </w:r>
          </w:p>
        </w:tc>
        <w:tc>
          <w:tcPr>
            <w:tcW w:w="324" w:type="pct"/>
            <w:tcBorders>
              <w:top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w:t>
            </w:r>
          </w:p>
        </w:tc>
      </w:tr>
      <w:tr w:rsidR="001037F0" w:rsidRPr="004138F5" w:rsidTr="00B41D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65" w:type="pct"/>
            <w:tcBorders>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Stabilité</w:t>
            </w:r>
          </w:p>
        </w:tc>
        <w:tc>
          <w:tcPr>
            <w:tcW w:w="319"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76%</w:t>
            </w:r>
          </w:p>
        </w:tc>
        <w:tc>
          <w:tcPr>
            <w:tcW w:w="319"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74%</w:t>
            </w:r>
          </w:p>
        </w:tc>
        <w:tc>
          <w:tcPr>
            <w:tcW w:w="323"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73%</w:t>
            </w:r>
          </w:p>
        </w:tc>
        <w:tc>
          <w:tcPr>
            <w:tcW w:w="319" w:type="pct"/>
            <w:tcBorders>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83%</w:t>
            </w:r>
          </w:p>
        </w:tc>
        <w:tc>
          <w:tcPr>
            <w:tcW w:w="432"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77%</w:t>
            </w:r>
          </w:p>
        </w:tc>
        <w:tc>
          <w:tcPr>
            <w:tcW w:w="318"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82%</w:t>
            </w:r>
          </w:p>
        </w:tc>
        <w:tc>
          <w:tcPr>
            <w:tcW w:w="318"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68%</w:t>
            </w:r>
          </w:p>
        </w:tc>
        <w:tc>
          <w:tcPr>
            <w:tcW w:w="318" w:type="pct"/>
            <w:tcBorders>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85%</w:t>
            </w:r>
          </w:p>
        </w:tc>
        <w:tc>
          <w:tcPr>
            <w:tcW w:w="298"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65%</w:t>
            </w:r>
          </w:p>
        </w:tc>
        <w:tc>
          <w:tcPr>
            <w:tcW w:w="319"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72%</w:t>
            </w:r>
          </w:p>
        </w:tc>
        <w:tc>
          <w:tcPr>
            <w:tcW w:w="328"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77%</w:t>
            </w:r>
          </w:p>
        </w:tc>
        <w:tc>
          <w:tcPr>
            <w:tcW w:w="32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74%</w:t>
            </w:r>
          </w:p>
        </w:tc>
      </w:tr>
      <w:tr w:rsidR="001037F0" w:rsidRPr="004138F5" w:rsidTr="00B41DC8">
        <w:trPr>
          <w:trHeight w:val="345"/>
        </w:trPr>
        <w:tc>
          <w:tcPr>
            <w:cnfStyle w:val="001000000000" w:firstRow="0" w:lastRow="0" w:firstColumn="1" w:lastColumn="0" w:oddVBand="0" w:evenVBand="0" w:oddHBand="0" w:evenHBand="0" w:firstRowFirstColumn="0" w:firstRowLastColumn="0" w:lastRowFirstColumn="0" w:lastRowLastColumn="0"/>
            <w:tcW w:w="1065" w:type="pct"/>
            <w:tcBorders>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Diminution</w:t>
            </w:r>
          </w:p>
        </w:tc>
        <w:tc>
          <w:tcPr>
            <w:tcW w:w="319" w:type="pct"/>
            <w:tcBorders>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319"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9%</w:t>
            </w:r>
          </w:p>
        </w:tc>
        <w:tc>
          <w:tcPr>
            <w:tcW w:w="323"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0%</w:t>
            </w:r>
          </w:p>
        </w:tc>
        <w:tc>
          <w:tcPr>
            <w:tcW w:w="319" w:type="pct"/>
            <w:tcBorders>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w:t>
            </w:r>
          </w:p>
        </w:tc>
        <w:tc>
          <w:tcPr>
            <w:tcW w:w="432" w:type="pct"/>
            <w:tcBorders>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318"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8%</w:t>
            </w:r>
          </w:p>
        </w:tc>
        <w:tc>
          <w:tcPr>
            <w:tcW w:w="318"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3%</w:t>
            </w:r>
          </w:p>
        </w:tc>
        <w:tc>
          <w:tcPr>
            <w:tcW w:w="318" w:type="pct"/>
            <w:tcBorders>
              <w:righ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10%</w:t>
            </w:r>
          </w:p>
        </w:tc>
        <w:tc>
          <w:tcPr>
            <w:tcW w:w="298" w:type="pct"/>
            <w:tcBorders>
              <w:left w:val="single" w:sz="8" w:space="0" w:color="9BBB59" w:themeColor="accent3"/>
            </w:tcBorders>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319"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13%</w:t>
            </w:r>
          </w:p>
        </w:tc>
        <w:tc>
          <w:tcPr>
            <w:tcW w:w="328"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4%</w:t>
            </w:r>
          </w:p>
        </w:tc>
        <w:tc>
          <w:tcPr>
            <w:tcW w:w="324" w:type="pct"/>
            <w:vAlign w:val="center"/>
          </w:tcPr>
          <w:p w:rsidR="001037F0" w:rsidRPr="004138F5" w:rsidRDefault="001037F0"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15%</w:t>
            </w:r>
          </w:p>
        </w:tc>
      </w:tr>
      <w:tr w:rsidR="001037F0" w:rsidRPr="004138F5" w:rsidTr="00B41D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65" w:type="pct"/>
            <w:tcBorders>
              <w:bottom w:val="single" w:sz="8" w:space="0" w:color="9BBB59" w:themeColor="accent3"/>
              <w:right w:val="single" w:sz="8" w:space="0" w:color="9BBB59" w:themeColor="accent3"/>
            </w:tcBorders>
            <w:noWrap/>
            <w:vAlign w:val="center"/>
          </w:tcPr>
          <w:p w:rsidR="001037F0" w:rsidRPr="004138F5" w:rsidRDefault="001037F0" w:rsidP="00F501C6">
            <w:pPr>
              <w:ind w:left="165"/>
              <w:rPr>
                <w:rFonts w:asciiTheme="minorHAnsi" w:hAnsiTheme="minorHAnsi" w:cstheme="minorHAnsi"/>
                <w:b w:val="0"/>
                <w:bCs w:val="0"/>
                <w:sz w:val="20"/>
                <w:szCs w:val="20"/>
              </w:rPr>
            </w:pPr>
            <w:r w:rsidRPr="004138F5">
              <w:rPr>
                <w:rFonts w:asciiTheme="minorHAnsi" w:hAnsiTheme="minorHAnsi" w:cstheme="minorHAnsi"/>
                <w:b w:val="0"/>
                <w:bCs w:val="0"/>
                <w:sz w:val="20"/>
                <w:szCs w:val="20"/>
              </w:rPr>
              <w:t>Ne sait pas</w:t>
            </w:r>
          </w:p>
        </w:tc>
        <w:tc>
          <w:tcPr>
            <w:tcW w:w="319" w:type="pct"/>
            <w:tcBorders>
              <w:left w:val="single" w:sz="8" w:space="0" w:color="9BBB59" w:themeColor="accent3"/>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19%</w:t>
            </w:r>
          </w:p>
        </w:tc>
        <w:tc>
          <w:tcPr>
            <w:tcW w:w="319"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16%</w:t>
            </w:r>
          </w:p>
        </w:tc>
        <w:tc>
          <w:tcPr>
            <w:tcW w:w="323"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23%</w:t>
            </w:r>
          </w:p>
        </w:tc>
        <w:tc>
          <w:tcPr>
            <w:tcW w:w="319" w:type="pct"/>
            <w:tcBorders>
              <w:bottom w:val="single" w:sz="8" w:space="0" w:color="9BBB59" w:themeColor="accent3"/>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432" w:type="pct"/>
            <w:tcBorders>
              <w:left w:val="single" w:sz="8" w:space="0" w:color="9BBB59" w:themeColor="accent3"/>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21%</w:t>
            </w:r>
          </w:p>
        </w:tc>
        <w:tc>
          <w:tcPr>
            <w:tcW w:w="318"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9%</w:t>
            </w:r>
          </w:p>
        </w:tc>
        <w:tc>
          <w:tcPr>
            <w:tcW w:w="318" w:type="pct"/>
            <w:tcBorders>
              <w:bottom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20%</w:t>
            </w:r>
          </w:p>
        </w:tc>
        <w:tc>
          <w:tcPr>
            <w:tcW w:w="318" w:type="pct"/>
            <w:tcBorders>
              <w:bottom w:val="single" w:sz="8" w:space="0" w:color="9BBB59" w:themeColor="accent3"/>
              <w:righ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c>
          <w:tcPr>
            <w:tcW w:w="298" w:type="pct"/>
            <w:tcBorders>
              <w:left w:val="single" w:sz="8" w:space="0" w:color="9BBB59" w:themeColor="accent3"/>
            </w:tcBorders>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16%</w:t>
            </w:r>
          </w:p>
        </w:tc>
        <w:tc>
          <w:tcPr>
            <w:tcW w:w="319"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10%</w:t>
            </w:r>
          </w:p>
        </w:tc>
        <w:tc>
          <w:tcPr>
            <w:tcW w:w="328"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6%</w:t>
            </w:r>
          </w:p>
        </w:tc>
        <w:tc>
          <w:tcPr>
            <w:tcW w:w="324" w:type="pct"/>
            <w:vAlign w:val="center"/>
          </w:tcPr>
          <w:p w:rsidR="001037F0" w:rsidRPr="004138F5" w:rsidRDefault="001037F0"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4138F5">
              <w:rPr>
                <w:rFonts w:asciiTheme="minorHAnsi" w:hAnsiTheme="minorHAnsi" w:cstheme="minorHAnsi"/>
                <w:bCs/>
                <w:sz w:val="20"/>
                <w:szCs w:val="20"/>
              </w:rPr>
              <w:t>1%</w:t>
            </w:r>
          </w:p>
        </w:tc>
      </w:tr>
    </w:tbl>
    <w:p w:rsidR="002B1371" w:rsidRPr="002436B1" w:rsidRDefault="002B1371" w:rsidP="002B1371">
      <w:pPr>
        <w:jc w:val="center"/>
        <w:rPr>
          <w:rFonts w:ascii="Calibri" w:hAnsi="Calibri" w:cs="Calibri"/>
          <w:b/>
          <w:bCs/>
        </w:rPr>
      </w:pPr>
    </w:p>
    <w:p w:rsidR="002B1371" w:rsidRDefault="002B1371" w:rsidP="002B1371">
      <w:pPr>
        <w:jc w:val="both"/>
        <w:rPr>
          <w:rFonts w:ascii="Calibri" w:hAnsi="Calibri" w:cs="Calibri"/>
          <w:bCs/>
        </w:rPr>
      </w:pPr>
    </w:p>
    <w:p w:rsidR="00A83087" w:rsidRDefault="00A83087" w:rsidP="002B1371">
      <w:pPr>
        <w:jc w:val="both"/>
        <w:rPr>
          <w:rFonts w:ascii="Calibri" w:hAnsi="Calibri" w:cs="Calibri"/>
          <w:bCs/>
        </w:rPr>
      </w:pPr>
      <w:r>
        <w:rPr>
          <w:rFonts w:ascii="Calibri" w:hAnsi="Calibri" w:cs="Calibri"/>
          <w:bCs/>
        </w:rPr>
        <w:t xml:space="preserve">Pour </w:t>
      </w:r>
      <w:r w:rsidR="00E91D62">
        <w:rPr>
          <w:rFonts w:ascii="Calibri" w:hAnsi="Calibri" w:cs="Calibri"/>
          <w:bCs/>
        </w:rPr>
        <w:t>chaque</w:t>
      </w:r>
      <w:r>
        <w:rPr>
          <w:rFonts w:ascii="Calibri" w:hAnsi="Calibri" w:cs="Calibri"/>
          <w:bCs/>
        </w:rPr>
        <w:t xml:space="preserve"> catégorie d’emploi, </w:t>
      </w:r>
      <w:r w:rsidR="00E91D62">
        <w:rPr>
          <w:rFonts w:ascii="Calibri" w:hAnsi="Calibri" w:cs="Calibri"/>
          <w:bCs/>
        </w:rPr>
        <w:t xml:space="preserve">les établissements sont plus nombreux à prévoir une diminution des effectifs logistiques en 2015 que leur croissance. En particulier, 15% des établissements de 50 à 99 salariés entrevoient des destructions d’emplois, contre 8% des créations d’emplois.  </w:t>
      </w:r>
    </w:p>
    <w:p w:rsidR="00A83087" w:rsidRPr="002436B1" w:rsidRDefault="00A83087" w:rsidP="002B1371">
      <w:pPr>
        <w:jc w:val="both"/>
        <w:rPr>
          <w:rFonts w:ascii="Calibri" w:hAnsi="Calibri" w:cs="Calibri"/>
          <w:bCs/>
        </w:rPr>
      </w:pPr>
    </w:p>
    <w:p w:rsidR="002B1371" w:rsidRPr="002436B1" w:rsidRDefault="002B1371" w:rsidP="002B1371">
      <w:pPr>
        <w:jc w:val="center"/>
        <w:rPr>
          <w:rFonts w:ascii="Calibri" w:hAnsi="Calibri" w:cs="Calibri"/>
          <w:b/>
          <w:bCs/>
        </w:rPr>
      </w:pPr>
    </w:p>
    <w:p w:rsidR="00443960" w:rsidRDefault="00443960">
      <w:pPr>
        <w:rPr>
          <w:rFonts w:ascii="Calibri" w:hAnsi="Calibri" w:cs="Calibri"/>
          <w:b/>
          <w:bCs/>
        </w:rPr>
      </w:pPr>
      <w:r>
        <w:rPr>
          <w:rFonts w:ascii="Calibri" w:hAnsi="Calibri" w:cs="Calibri"/>
          <w:b/>
          <w:bCs/>
        </w:rPr>
        <w:br w:type="page"/>
      </w:r>
    </w:p>
    <w:p w:rsidR="002B1371" w:rsidRPr="002436B1" w:rsidRDefault="002B1371" w:rsidP="002B1371">
      <w:pPr>
        <w:jc w:val="center"/>
        <w:rPr>
          <w:rFonts w:ascii="Calibri" w:hAnsi="Calibri" w:cs="Calibri"/>
          <w:b/>
          <w:bCs/>
        </w:rPr>
      </w:pPr>
      <w:r w:rsidRPr="002436B1">
        <w:rPr>
          <w:rFonts w:ascii="Calibri" w:hAnsi="Calibri" w:cs="Calibri"/>
          <w:b/>
          <w:bCs/>
        </w:rPr>
        <w:t>Prévisions d'évolution des effectifs logistiques par secteur pour 201</w:t>
      </w:r>
      <w:r w:rsidR="00E91D62">
        <w:rPr>
          <w:rFonts w:ascii="Calibri" w:hAnsi="Calibri" w:cs="Calibri"/>
          <w:b/>
          <w:bCs/>
        </w:rPr>
        <w:t>5</w:t>
      </w:r>
    </w:p>
    <w:p w:rsidR="002B1371" w:rsidRPr="002436B1" w:rsidRDefault="002B1371" w:rsidP="002B1371">
      <w:pPr>
        <w:jc w:val="center"/>
        <w:rPr>
          <w:rFonts w:ascii="Calibri" w:hAnsi="Calibri" w:cs="Calibri"/>
          <w:b/>
          <w:bCs/>
        </w:rPr>
      </w:pPr>
      <w:r w:rsidRPr="002436B1">
        <w:rPr>
          <w:rFonts w:ascii="Calibri" w:hAnsi="Calibri" w:cs="Calibri"/>
          <w:b/>
          <w:bCs/>
        </w:rPr>
        <w:t>(écart en % entre les établissements prévoyant une augmentation</w:t>
      </w:r>
      <w:r w:rsidR="004F74DB">
        <w:rPr>
          <w:rFonts w:ascii="Calibri" w:hAnsi="Calibri" w:cs="Calibri"/>
          <w:b/>
          <w:bCs/>
        </w:rPr>
        <w:t xml:space="preserve"> </w:t>
      </w:r>
      <w:r w:rsidRPr="002436B1">
        <w:rPr>
          <w:rFonts w:ascii="Calibri" w:hAnsi="Calibri" w:cs="Calibri"/>
          <w:b/>
          <w:bCs/>
        </w:rPr>
        <w:t>et ceux prévoyant une diminution)</w:t>
      </w:r>
    </w:p>
    <w:p w:rsidR="002B1371" w:rsidRPr="002436B1" w:rsidRDefault="002B1371" w:rsidP="002B1371">
      <w:pPr>
        <w:rPr>
          <w:rFonts w:ascii="Calibri" w:hAnsi="Calibri" w:cs="Calibri"/>
        </w:rPr>
      </w:pPr>
    </w:p>
    <w:p w:rsidR="004F74DB" w:rsidRPr="002436B1" w:rsidRDefault="004F74DB" w:rsidP="002B1371">
      <w:pPr>
        <w:rPr>
          <w:rFonts w:ascii="Calibri" w:hAnsi="Calibri" w:cs="Calibri"/>
          <w:i/>
          <w:iCs/>
        </w:rPr>
      </w:pPr>
      <w:r>
        <w:rPr>
          <w:rFonts w:ascii="Calibri" w:hAnsi="Calibri" w:cs="Calibri"/>
          <w:i/>
          <w:iCs/>
        </w:rPr>
        <w:t xml:space="preserve">                                                </w:t>
      </w:r>
      <w:r w:rsidR="002B1371" w:rsidRPr="002436B1">
        <w:rPr>
          <w:rFonts w:ascii="Calibri" w:hAnsi="Calibri" w:cs="Calibri"/>
          <w:i/>
          <w:iCs/>
        </w:rPr>
        <w:t>Etablissements de 100 salariés et plus</w:t>
      </w:r>
      <w:r w:rsidR="004930F0">
        <w:rPr>
          <w:rFonts w:ascii="Calibri" w:hAnsi="Calibri" w:cs="Calibri"/>
          <w:i/>
          <w:iCs/>
        </w:rPr>
        <w:tab/>
        <w:t xml:space="preserve">                                                                                    </w:t>
      </w:r>
      <w:r>
        <w:rPr>
          <w:rFonts w:ascii="Calibri" w:hAnsi="Calibri" w:cs="Calibri"/>
          <w:i/>
          <w:iCs/>
        </w:rPr>
        <w:t xml:space="preserve"> </w:t>
      </w:r>
      <w:r w:rsidR="004930F0">
        <w:rPr>
          <w:rFonts w:ascii="Calibri" w:hAnsi="Calibri" w:cs="Calibri"/>
          <w:i/>
          <w:iCs/>
        </w:rPr>
        <w:t xml:space="preserve">    </w:t>
      </w:r>
      <w:r w:rsidR="004930F0" w:rsidRPr="002436B1">
        <w:rPr>
          <w:rFonts w:ascii="Calibri" w:hAnsi="Calibri" w:cs="Calibri"/>
          <w:i/>
          <w:iCs/>
        </w:rPr>
        <w:t>Etablissements de 50 à 99 salariés</w:t>
      </w:r>
    </w:p>
    <w:tbl>
      <w:tblPr>
        <w:tblStyle w:val="Listemoyenne1-Accent3"/>
        <w:tblW w:w="4832" w:type="pct"/>
        <w:tblLook w:val="04A0" w:firstRow="1" w:lastRow="0" w:firstColumn="1" w:lastColumn="0" w:noHBand="0" w:noVBand="1"/>
      </w:tblPr>
      <w:tblGrid>
        <w:gridCol w:w="2802"/>
        <w:gridCol w:w="993"/>
        <w:gridCol w:w="1028"/>
        <w:gridCol w:w="1028"/>
        <w:gridCol w:w="987"/>
        <w:gridCol w:w="1011"/>
        <w:gridCol w:w="1217"/>
        <w:gridCol w:w="807"/>
        <w:gridCol w:w="1008"/>
        <w:gridCol w:w="425"/>
        <w:gridCol w:w="1008"/>
        <w:gridCol w:w="1008"/>
        <w:gridCol w:w="1241"/>
      </w:tblGrid>
      <w:tr w:rsidR="005706D7" w:rsidRPr="004F74DB" w:rsidTr="00E91D6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9BBB59" w:themeColor="accent3"/>
            </w:tcBorders>
            <w:vAlign w:val="center"/>
          </w:tcPr>
          <w:p w:rsidR="004930F0" w:rsidRPr="004F74DB" w:rsidRDefault="004930F0" w:rsidP="00F501C6">
            <w:pPr>
              <w:rPr>
                <w:rFonts w:asciiTheme="minorHAnsi" w:hAnsiTheme="minorHAnsi" w:cstheme="minorHAnsi"/>
                <w:b w:val="0"/>
                <w:bCs w:val="0"/>
                <w:sz w:val="20"/>
                <w:szCs w:val="20"/>
              </w:rPr>
            </w:pPr>
          </w:p>
        </w:tc>
        <w:tc>
          <w:tcPr>
            <w:tcW w:w="341"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IAA</w:t>
            </w:r>
          </w:p>
        </w:tc>
        <w:tc>
          <w:tcPr>
            <w:tcW w:w="353"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PHAR</w:t>
            </w:r>
          </w:p>
        </w:tc>
        <w:tc>
          <w:tcPr>
            <w:tcW w:w="353"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AUTO</w:t>
            </w:r>
          </w:p>
        </w:tc>
        <w:tc>
          <w:tcPr>
            <w:tcW w:w="339"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IEM</w:t>
            </w:r>
          </w:p>
        </w:tc>
        <w:tc>
          <w:tcPr>
            <w:tcW w:w="347"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CHIM</w:t>
            </w:r>
          </w:p>
        </w:tc>
        <w:tc>
          <w:tcPr>
            <w:tcW w:w="418"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COM</w:t>
            </w:r>
          </w:p>
        </w:tc>
        <w:tc>
          <w:tcPr>
            <w:tcW w:w="277"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TRP</w:t>
            </w:r>
          </w:p>
        </w:tc>
        <w:tc>
          <w:tcPr>
            <w:tcW w:w="346"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Total</w:t>
            </w:r>
          </w:p>
        </w:tc>
        <w:tc>
          <w:tcPr>
            <w:tcW w:w="146" w:type="pct"/>
            <w:tcBorders>
              <w:bottom w:val="nil"/>
            </w:tcBorders>
            <w:shd w:val="clear" w:color="auto" w:fill="auto"/>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346"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COM</w:t>
            </w:r>
          </w:p>
        </w:tc>
        <w:tc>
          <w:tcPr>
            <w:tcW w:w="346"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TRP</w:t>
            </w:r>
          </w:p>
        </w:tc>
        <w:tc>
          <w:tcPr>
            <w:tcW w:w="426" w:type="pct"/>
            <w:tcBorders>
              <w:top w:val="single" w:sz="8" w:space="0" w:color="9BBB59" w:themeColor="accent3"/>
            </w:tcBorders>
            <w:vAlign w:val="center"/>
          </w:tcPr>
          <w:p w:rsidR="004930F0" w:rsidRPr="004F74DB" w:rsidRDefault="004930F0" w:rsidP="00F501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F74DB">
              <w:rPr>
                <w:rFonts w:asciiTheme="minorHAnsi" w:hAnsiTheme="minorHAnsi" w:cstheme="minorHAnsi"/>
                <w:bCs/>
                <w:sz w:val="20"/>
                <w:szCs w:val="20"/>
              </w:rPr>
              <w:t>Total</w:t>
            </w:r>
          </w:p>
        </w:tc>
      </w:tr>
      <w:tr w:rsidR="00E91D62" w:rsidRPr="004F74DB" w:rsidTr="00CF74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2" w:type="pct"/>
            <w:vAlign w:val="center"/>
          </w:tcPr>
          <w:p w:rsidR="00E91D62" w:rsidRPr="004F74DB" w:rsidRDefault="00E91D62" w:rsidP="00F501C6">
            <w:pPr>
              <w:rPr>
                <w:rFonts w:asciiTheme="minorHAnsi" w:hAnsiTheme="minorHAnsi" w:cstheme="minorHAnsi"/>
                <w:b w:val="0"/>
                <w:bCs w:val="0"/>
                <w:sz w:val="20"/>
                <w:szCs w:val="20"/>
              </w:rPr>
            </w:pPr>
            <w:r w:rsidRPr="004F74DB">
              <w:rPr>
                <w:rFonts w:asciiTheme="minorHAnsi" w:hAnsiTheme="minorHAnsi" w:cstheme="minorHAnsi"/>
                <w:b w:val="0"/>
                <w:bCs w:val="0"/>
                <w:sz w:val="20"/>
                <w:szCs w:val="20"/>
              </w:rPr>
              <w:t>Cadres</w:t>
            </w:r>
          </w:p>
        </w:tc>
        <w:tc>
          <w:tcPr>
            <w:tcW w:w="341"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353"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353"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-7%</w:t>
            </w:r>
          </w:p>
        </w:tc>
        <w:tc>
          <w:tcPr>
            <w:tcW w:w="339"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347"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418"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277"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34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146" w:type="pct"/>
            <w:tcBorders>
              <w:top w:val="nil"/>
              <w:bottom w:val="nil"/>
            </w:tcBorders>
            <w:shd w:val="clear" w:color="auto" w:fill="auto"/>
            <w:vAlign w:val="center"/>
          </w:tcPr>
          <w:p w:rsidR="00E91D62" w:rsidRPr="004F74DB" w:rsidRDefault="00E91D62" w:rsidP="00F501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34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c>
          <w:tcPr>
            <w:tcW w:w="34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-6%</w:t>
            </w:r>
          </w:p>
        </w:tc>
        <w:tc>
          <w:tcPr>
            <w:tcW w:w="42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r>
      <w:tr w:rsidR="00E91D62" w:rsidRPr="004F74DB" w:rsidTr="00CF7424">
        <w:trPr>
          <w:trHeight w:val="340"/>
        </w:trPr>
        <w:tc>
          <w:tcPr>
            <w:cnfStyle w:val="001000000000" w:firstRow="0" w:lastRow="0" w:firstColumn="1" w:lastColumn="0" w:oddVBand="0" w:evenVBand="0" w:oddHBand="0" w:evenHBand="0" w:firstRowFirstColumn="0" w:firstRowLastColumn="0" w:lastRowFirstColumn="0" w:lastRowLastColumn="0"/>
            <w:tcW w:w="962" w:type="pct"/>
            <w:vAlign w:val="center"/>
          </w:tcPr>
          <w:p w:rsidR="00E91D62" w:rsidRPr="004F74DB" w:rsidRDefault="00E91D62" w:rsidP="00F501C6">
            <w:pPr>
              <w:rPr>
                <w:rFonts w:asciiTheme="minorHAnsi" w:hAnsiTheme="minorHAnsi" w:cstheme="minorHAnsi"/>
                <w:b w:val="0"/>
                <w:bCs w:val="0"/>
                <w:sz w:val="20"/>
                <w:szCs w:val="20"/>
              </w:rPr>
            </w:pPr>
            <w:r w:rsidRPr="004F74DB">
              <w:rPr>
                <w:rFonts w:asciiTheme="minorHAnsi" w:hAnsiTheme="minorHAnsi" w:cstheme="minorHAnsi"/>
                <w:b w:val="0"/>
                <w:bCs w:val="0"/>
                <w:sz w:val="20"/>
                <w:szCs w:val="20"/>
              </w:rPr>
              <w:t>Techniciens/</w:t>
            </w:r>
            <w:r>
              <w:rPr>
                <w:rFonts w:asciiTheme="minorHAnsi" w:hAnsiTheme="minorHAnsi" w:cstheme="minorHAnsi"/>
                <w:b w:val="0"/>
                <w:bCs w:val="0"/>
                <w:sz w:val="20"/>
                <w:szCs w:val="20"/>
              </w:rPr>
              <w:t xml:space="preserve">Agents de </w:t>
            </w:r>
            <w:r w:rsidRPr="004F74DB">
              <w:rPr>
                <w:rFonts w:asciiTheme="minorHAnsi" w:hAnsiTheme="minorHAnsi" w:cstheme="minorHAnsi"/>
                <w:b w:val="0"/>
                <w:bCs w:val="0"/>
                <w:sz w:val="20"/>
                <w:szCs w:val="20"/>
              </w:rPr>
              <w:t>Maîtrise</w:t>
            </w:r>
          </w:p>
        </w:tc>
        <w:tc>
          <w:tcPr>
            <w:tcW w:w="341"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353"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353"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-7%</w:t>
            </w:r>
          </w:p>
        </w:tc>
        <w:tc>
          <w:tcPr>
            <w:tcW w:w="339"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347"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418"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277"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-6%</w:t>
            </w:r>
          </w:p>
        </w:tc>
        <w:tc>
          <w:tcPr>
            <w:tcW w:w="346"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146" w:type="pct"/>
            <w:tcBorders>
              <w:top w:val="nil"/>
              <w:bottom w:val="nil"/>
            </w:tcBorders>
            <w:shd w:val="clear" w:color="auto" w:fill="auto"/>
            <w:vAlign w:val="center"/>
          </w:tcPr>
          <w:p w:rsidR="00E91D62" w:rsidRPr="004F74DB" w:rsidRDefault="00E91D62" w:rsidP="00F501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346"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-13%</w:t>
            </w:r>
          </w:p>
        </w:tc>
        <w:tc>
          <w:tcPr>
            <w:tcW w:w="346"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426" w:type="pct"/>
            <w:vAlign w:val="bottom"/>
          </w:tcPr>
          <w:p w:rsidR="00E91D62" w:rsidRPr="004138F5" w:rsidRDefault="00E91D62"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r>
      <w:tr w:rsidR="00E91D62" w:rsidRPr="004F74DB" w:rsidTr="00CF74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2" w:type="pct"/>
            <w:vAlign w:val="center"/>
          </w:tcPr>
          <w:p w:rsidR="00E91D62" w:rsidRPr="004F74DB" w:rsidRDefault="00E91D62" w:rsidP="00F501C6">
            <w:pPr>
              <w:rPr>
                <w:rFonts w:asciiTheme="minorHAnsi" w:hAnsiTheme="minorHAnsi" w:cstheme="minorHAnsi"/>
                <w:b w:val="0"/>
                <w:bCs w:val="0"/>
                <w:sz w:val="20"/>
                <w:szCs w:val="20"/>
              </w:rPr>
            </w:pPr>
            <w:r w:rsidRPr="004F74DB">
              <w:rPr>
                <w:rFonts w:asciiTheme="minorHAnsi" w:hAnsiTheme="minorHAnsi" w:cstheme="minorHAnsi"/>
                <w:b w:val="0"/>
                <w:bCs w:val="0"/>
                <w:sz w:val="20"/>
                <w:szCs w:val="20"/>
              </w:rPr>
              <w:t>Opérateurs</w:t>
            </w:r>
          </w:p>
        </w:tc>
        <w:tc>
          <w:tcPr>
            <w:tcW w:w="341"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c>
          <w:tcPr>
            <w:tcW w:w="353"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353"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-17%</w:t>
            </w:r>
          </w:p>
        </w:tc>
        <w:tc>
          <w:tcPr>
            <w:tcW w:w="339"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347"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418"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277"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34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46" w:type="pct"/>
            <w:tcBorders>
              <w:top w:val="nil"/>
              <w:bottom w:val="nil"/>
            </w:tcBorders>
            <w:shd w:val="clear" w:color="auto" w:fill="auto"/>
            <w:vAlign w:val="center"/>
          </w:tcPr>
          <w:p w:rsidR="00E91D62" w:rsidRPr="004F74DB" w:rsidRDefault="00E91D62" w:rsidP="00F501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34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c>
          <w:tcPr>
            <w:tcW w:w="34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426" w:type="pct"/>
            <w:vAlign w:val="bottom"/>
          </w:tcPr>
          <w:p w:rsidR="00E91D62" w:rsidRPr="004138F5" w:rsidRDefault="00E91D62"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r>
    </w:tbl>
    <w:p w:rsidR="002B1371" w:rsidRDefault="002B1371" w:rsidP="002B1371">
      <w:pPr>
        <w:rPr>
          <w:rFonts w:ascii="Calibri" w:hAnsi="Calibri" w:cs="Calibri"/>
        </w:rPr>
      </w:pPr>
    </w:p>
    <w:p w:rsidR="00422960" w:rsidRPr="002436B1" w:rsidRDefault="00422960" w:rsidP="00422960">
      <w:pPr>
        <w:jc w:val="both"/>
        <w:rPr>
          <w:rFonts w:ascii="Calibri" w:hAnsi="Calibri" w:cs="Calibri"/>
        </w:rPr>
      </w:pPr>
      <w:r>
        <w:rPr>
          <w:rFonts w:ascii="Calibri" w:hAnsi="Calibri" w:cs="Calibri"/>
        </w:rPr>
        <w:t xml:space="preserve">Toutefois, </w:t>
      </w:r>
      <w:r w:rsidR="00971E3B">
        <w:rPr>
          <w:rFonts w:ascii="Calibri" w:hAnsi="Calibri" w:cs="Calibri"/>
        </w:rPr>
        <w:t xml:space="preserve">dans </w:t>
      </w:r>
      <w:r>
        <w:rPr>
          <w:rFonts w:ascii="Calibri" w:hAnsi="Calibri" w:cs="Calibri"/>
        </w:rPr>
        <w:t xml:space="preserve">l’industrie agroalimentaire et </w:t>
      </w:r>
      <w:r w:rsidR="00886C0B">
        <w:rPr>
          <w:rFonts w:ascii="Calibri" w:hAnsi="Calibri" w:cs="Calibri"/>
        </w:rPr>
        <w:t xml:space="preserve">chez </w:t>
      </w:r>
      <w:r>
        <w:rPr>
          <w:rFonts w:ascii="Calibri" w:hAnsi="Calibri" w:cs="Calibri"/>
        </w:rPr>
        <w:t>les prestataires transport-logistique, l</w:t>
      </w:r>
      <w:r w:rsidR="002B1371" w:rsidRPr="002436B1">
        <w:rPr>
          <w:rFonts w:ascii="Calibri" w:hAnsi="Calibri" w:cs="Calibri"/>
        </w:rPr>
        <w:t xml:space="preserve">’écart entre la proportion d’établissements de 100 salariés et plus prévoyant une augmentation des effectifs </w:t>
      </w:r>
      <w:r>
        <w:rPr>
          <w:rFonts w:ascii="Calibri" w:hAnsi="Calibri" w:cs="Calibri"/>
        </w:rPr>
        <w:t>d’opérateurs logistique</w:t>
      </w:r>
      <w:r w:rsidR="00886C0B">
        <w:rPr>
          <w:rFonts w:ascii="Calibri" w:hAnsi="Calibri" w:cs="Calibri"/>
        </w:rPr>
        <w:t>s</w:t>
      </w:r>
      <w:r w:rsidR="002B1371" w:rsidRPr="002436B1">
        <w:rPr>
          <w:rFonts w:ascii="Calibri" w:hAnsi="Calibri" w:cs="Calibri"/>
        </w:rPr>
        <w:t xml:space="preserve"> et la proportion de ceux prévoyant </w:t>
      </w:r>
      <w:r>
        <w:rPr>
          <w:rFonts w:ascii="Calibri" w:hAnsi="Calibri" w:cs="Calibri"/>
        </w:rPr>
        <w:t>leur</w:t>
      </w:r>
      <w:r w:rsidR="002B1371" w:rsidRPr="002436B1">
        <w:rPr>
          <w:rFonts w:ascii="Calibri" w:hAnsi="Calibri" w:cs="Calibri"/>
        </w:rPr>
        <w:t xml:space="preserve"> diminution</w:t>
      </w:r>
      <w:r>
        <w:rPr>
          <w:rFonts w:ascii="Calibri" w:hAnsi="Calibri" w:cs="Calibri"/>
        </w:rPr>
        <w:t xml:space="preserve"> </w:t>
      </w:r>
      <w:r w:rsidR="00971E3B">
        <w:rPr>
          <w:rFonts w:ascii="Calibri" w:hAnsi="Calibri" w:cs="Calibri"/>
        </w:rPr>
        <w:t xml:space="preserve">est positif (cet écart vaut respectivement 10 points et 3 points). </w:t>
      </w:r>
    </w:p>
    <w:p w:rsidR="001037F0" w:rsidRDefault="001037F0" w:rsidP="00F501C6">
      <w:pPr>
        <w:jc w:val="both"/>
        <w:rPr>
          <w:rFonts w:ascii="Calibri" w:hAnsi="Calibri" w:cs="Calibri"/>
        </w:rPr>
      </w:pPr>
    </w:p>
    <w:p w:rsidR="001037F0" w:rsidRDefault="001037F0" w:rsidP="00F501C6">
      <w:pPr>
        <w:jc w:val="both"/>
        <w:rPr>
          <w:rFonts w:ascii="Calibri" w:hAnsi="Calibri" w:cs="Calibri"/>
        </w:rPr>
      </w:pPr>
    </w:p>
    <w:p w:rsidR="001037F0" w:rsidRPr="00AF11F6" w:rsidRDefault="001037F0" w:rsidP="001037F0">
      <w:pPr>
        <w:rPr>
          <w:rFonts w:ascii="Arial Black" w:hAnsi="Arial Black" w:cs="Calibri"/>
          <w:b/>
          <w:bCs/>
          <w:color w:val="632423"/>
        </w:rPr>
      </w:pPr>
      <w:r>
        <w:rPr>
          <w:rFonts w:ascii="Arial Black" w:hAnsi="Arial Black" w:cs="Calibri"/>
          <w:b/>
          <w:bCs/>
          <w:color w:val="632423"/>
        </w:rPr>
        <w:t>Le non remplacement des départs</w:t>
      </w:r>
      <w:r w:rsidRPr="00AF11F6">
        <w:rPr>
          <w:rFonts w:ascii="Arial Black" w:hAnsi="Arial Black" w:cs="Calibri"/>
          <w:b/>
          <w:bCs/>
          <w:color w:val="632423"/>
        </w:rPr>
        <w:t xml:space="preserve"> </w:t>
      </w:r>
      <w:r>
        <w:rPr>
          <w:rFonts w:ascii="Arial Black" w:hAnsi="Arial Black" w:cs="Calibri"/>
          <w:b/>
          <w:bCs/>
          <w:color w:val="632423"/>
        </w:rPr>
        <w:t xml:space="preserve">devrait continuer à être à l’œuvre </w:t>
      </w:r>
      <w:r w:rsidRPr="00AF11F6">
        <w:rPr>
          <w:rFonts w:ascii="Arial Black" w:hAnsi="Arial Black" w:cs="Calibri"/>
          <w:b/>
          <w:bCs/>
          <w:color w:val="632423"/>
        </w:rPr>
        <w:t>en 201</w:t>
      </w:r>
      <w:r>
        <w:rPr>
          <w:rFonts w:ascii="Arial Black" w:hAnsi="Arial Black" w:cs="Calibri"/>
          <w:b/>
          <w:bCs/>
          <w:color w:val="632423"/>
        </w:rPr>
        <w:t>5</w:t>
      </w:r>
    </w:p>
    <w:p w:rsidR="001037F0" w:rsidRPr="008A0C91" w:rsidRDefault="001037F0" w:rsidP="001037F0">
      <w:pPr>
        <w:rPr>
          <w:rFonts w:ascii="Calibri" w:hAnsi="Calibri" w:cs="Calibri"/>
          <w:b/>
          <w:color w:val="800000"/>
          <w:sz w:val="16"/>
          <w:szCs w:val="16"/>
        </w:rPr>
      </w:pPr>
    </w:p>
    <w:p w:rsidR="001037F0" w:rsidRDefault="001037F0" w:rsidP="001037F0">
      <w:pPr>
        <w:jc w:val="center"/>
        <w:rPr>
          <w:rFonts w:ascii="Calibri" w:hAnsi="Calibri" w:cs="Calibri"/>
          <w:b/>
          <w:bCs/>
        </w:rPr>
      </w:pPr>
      <w:r w:rsidRPr="002436B1">
        <w:rPr>
          <w:rFonts w:ascii="Calibri" w:hAnsi="Calibri" w:cs="Calibri"/>
          <w:b/>
          <w:bCs/>
        </w:rPr>
        <w:t>Pourcentage d'établissements prévoyant de prendre en 201</w:t>
      </w:r>
      <w:r>
        <w:rPr>
          <w:rFonts w:ascii="Calibri" w:hAnsi="Calibri" w:cs="Calibri"/>
          <w:b/>
          <w:bCs/>
        </w:rPr>
        <w:t>5</w:t>
      </w:r>
      <w:r w:rsidRPr="002436B1">
        <w:rPr>
          <w:rFonts w:ascii="Calibri" w:hAnsi="Calibri" w:cs="Calibri"/>
          <w:b/>
          <w:bCs/>
        </w:rPr>
        <w:t xml:space="preserve"> des mesures de réduction des effectifs (par catégorie d’emploi)</w:t>
      </w:r>
    </w:p>
    <w:p w:rsidR="001037F0" w:rsidRPr="002436B1" w:rsidRDefault="001037F0" w:rsidP="001037F0">
      <w:pPr>
        <w:jc w:val="center"/>
        <w:rPr>
          <w:rFonts w:ascii="Calibri" w:hAnsi="Calibri" w:cs="Calibri"/>
          <w:b/>
          <w:bCs/>
        </w:rPr>
      </w:pPr>
    </w:p>
    <w:p w:rsidR="001037F0" w:rsidRPr="00A56B21" w:rsidRDefault="001037F0" w:rsidP="001037F0">
      <w:pPr>
        <w:rPr>
          <w:rFonts w:ascii="Calibri" w:hAnsi="Calibri" w:cs="Calibri"/>
          <w:i/>
          <w:iCs/>
        </w:rPr>
      </w:pPr>
      <w:r w:rsidRPr="00A56B21">
        <w:rPr>
          <w:rFonts w:ascii="Calibri" w:hAnsi="Calibri" w:cs="Calibri"/>
          <w:i/>
          <w:iCs/>
        </w:rPr>
        <w:t xml:space="preserve">                                                                     Etablissements de 100 salariés et plus                                       Etablissements de 50 à 99 salariés</w:t>
      </w:r>
    </w:p>
    <w:tbl>
      <w:tblPr>
        <w:tblStyle w:val="Listemoyenne1-Accent5"/>
        <w:tblW w:w="14850" w:type="dxa"/>
        <w:tblLayout w:type="fixed"/>
        <w:tblLook w:val="04A0" w:firstRow="1" w:lastRow="0" w:firstColumn="1" w:lastColumn="0" w:noHBand="0" w:noVBand="1"/>
      </w:tblPr>
      <w:tblGrid>
        <w:gridCol w:w="3510"/>
        <w:gridCol w:w="1276"/>
        <w:gridCol w:w="1838"/>
        <w:gridCol w:w="1280"/>
        <w:gridCol w:w="1134"/>
        <w:gridCol w:w="314"/>
        <w:gridCol w:w="1245"/>
        <w:gridCol w:w="1837"/>
        <w:gridCol w:w="1140"/>
        <w:gridCol w:w="1276"/>
      </w:tblGrid>
      <w:tr w:rsidR="001037F0" w:rsidRPr="003F58D8" w:rsidTr="00CF7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BACC6" w:themeColor="accent5"/>
            </w:tcBorders>
          </w:tcPr>
          <w:p w:rsidR="001037F0" w:rsidRPr="003F58D8" w:rsidRDefault="001037F0" w:rsidP="00CF7424">
            <w:pPr>
              <w:rPr>
                <w:rFonts w:asciiTheme="minorHAnsi" w:hAnsiTheme="minorHAnsi" w:cstheme="minorHAnsi"/>
                <w:b w:val="0"/>
                <w:bCs w:val="0"/>
                <w:sz w:val="20"/>
                <w:szCs w:val="20"/>
              </w:rPr>
            </w:pPr>
          </w:p>
        </w:tc>
        <w:tc>
          <w:tcPr>
            <w:tcW w:w="1276"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Cadres</w:t>
            </w:r>
          </w:p>
        </w:tc>
        <w:tc>
          <w:tcPr>
            <w:tcW w:w="1838"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Techniciens/Agents</w:t>
            </w:r>
          </w:p>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 xml:space="preserve"> de maîtrise</w:t>
            </w:r>
          </w:p>
        </w:tc>
        <w:tc>
          <w:tcPr>
            <w:tcW w:w="1280"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Opérateurs</w:t>
            </w:r>
          </w:p>
        </w:tc>
        <w:tc>
          <w:tcPr>
            <w:tcW w:w="1134"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Total</w:t>
            </w:r>
          </w:p>
        </w:tc>
        <w:tc>
          <w:tcPr>
            <w:tcW w:w="314" w:type="dxa"/>
            <w:tcBorders>
              <w:bottom w:val="nil"/>
            </w:tcBorders>
            <w:shd w:val="clear" w:color="auto" w:fill="auto"/>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1245"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Cadres</w:t>
            </w:r>
          </w:p>
        </w:tc>
        <w:tc>
          <w:tcPr>
            <w:tcW w:w="1837"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Techniciens/Agents de maîtrise</w:t>
            </w:r>
          </w:p>
        </w:tc>
        <w:tc>
          <w:tcPr>
            <w:tcW w:w="1140"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Opérateurs</w:t>
            </w:r>
          </w:p>
        </w:tc>
        <w:tc>
          <w:tcPr>
            <w:tcW w:w="1276" w:type="dxa"/>
            <w:tcBorders>
              <w:top w:val="single" w:sz="8" w:space="0" w:color="4BACC6" w:themeColor="accent5"/>
            </w:tcBorders>
          </w:tcPr>
          <w:p w:rsidR="001037F0" w:rsidRPr="003F58D8" w:rsidRDefault="001037F0" w:rsidP="00CF74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F58D8">
              <w:rPr>
                <w:rFonts w:asciiTheme="minorHAnsi" w:hAnsiTheme="minorHAnsi" w:cstheme="minorHAnsi"/>
                <w:bCs/>
                <w:sz w:val="20"/>
                <w:szCs w:val="20"/>
              </w:rPr>
              <w:t>Total</w:t>
            </w:r>
          </w:p>
        </w:tc>
      </w:tr>
      <w:tr w:rsidR="001037F0" w:rsidRPr="003F58D8" w:rsidTr="00CF7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037F0" w:rsidRPr="003F58D8" w:rsidRDefault="001037F0" w:rsidP="00CF7424">
            <w:pPr>
              <w:rPr>
                <w:rFonts w:asciiTheme="minorHAnsi" w:hAnsiTheme="minorHAnsi" w:cstheme="minorHAnsi"/>
                <w:b w:val="0"/>
                <w:bCs w:val="0"/>
                <w:sz w:val="20"/>
                <w:szCs w:val="20"/>
              </w:rPr>
            </w:pPr>
            <w:r w:rsidRPr="003F58D8">
              <w:rPr>
                <w:rFonts w:asciiTheme="minorHAnsi" w:hAnsiTheme="minorHAnsi" w:cstheme="minorHAnsi"/>
                <w:b w:val="0"/>
                <w:bCs w:val="0"/>
                <w:sz w:val="20"/>
                <w:szCs w:val="20"/>
              </w:rPr>
              <w:t xml:space="preserve">Licenciements économiques </w:t>
            </w:r>
          </w:p>
        </w:tc>
        <w:tc>
          <w:tcPr>
            <w:tcW w:w="1276"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838"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1280"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1134"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314" w:type="dxa"/>
            <w:tcBorders>
              <w:top w:val="nil"/>
              <w:bottom w:val="nil"/>
            </w:tcBorders>
            <w:shd w:val="clear" w:color="auto" w:fill="auto"/>
          </w:tcPr>
          <w:p w:rsidR="001037F0" w:rsidRPr="003F58D8"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245"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837"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1140"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1276"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r>
      <w:tr w:rsidR="001037F0" w:rsidRPr="003F58D8" w:rsidTr="00CF7424">
        <w:tc>
          <w:tcPr>
            <w:cnfStyle w:val="001000000000" w:firstRow="0" w:lastRow="0" w:firstColumn="1" w:lastColumn="0" w:oddVBand="0" w:evenVBand="0" w:oddHBand="0" w:evenHBand="0" w:firstRowFirstColumn="0" w:firstRowLastColumn="0" w:lastRowFirstColumn="0" w:lastRowLastColumn="0"/>
            <w:tcW w:w="3510" w:type="dxa"/>
          </w:tcPr>
          <w:p w:rsidR="001037F0" w:rsidRPr="003F58D8" w:rsidRDefault="001037F0" w:rsidP="00CF7424">
            <w:pPr>
              <w:rPr>
                <w:rFonts w:asciiTheme="minorHAnsi" w:hAnsiTheme="minorHAnsi" w:cstheme="minorHAnsi"/>
                <w:b w:val="0"/>
                <w:bCs w:val="0"/>
                <w:sz w:val="20"/>
                <w:szCs w:val="20"/>
              </w:rPr>
            </w:pPr>
            <w:r w:rsidRPr="003F58D8">
              <w:rPr>
                <w:rFonts w:asciiTheme="minorHAnsi" w:hAnsiTheme="minorHAnsi" w:cstheme="minorHAnsi"/>
                <w:b w:val="0"/>
                <w:bCs w:val="0"/>
                <w:sz w:val="20"/>
                <w:szCs w:val="20"/>
              </w:rPr>
              <w:t>Chômage technique / partiel</w:t>
            </w:r>
          </w:p>
        </w:tc>
        <w:tc>
          <w:tcPr>
            <w:tcW w:w="1276"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838"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280"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134"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314" w:type="dxa"/>
            <w:tcBorders>
              <w:top w:val="nil"/>
              <w:bottom w:val="nil"/>
            </w:tcBorders>
            <w:shd w:val="clear" w:color="auto" w:fill="auto"/>
          </w:tcPr>
          <w:p w:rsidR="001037F0" w:rsidRPr="003F58D8" w:rsidRDefault="001037F0" w:rsidP="00CF74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1245"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837"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140"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276" w:type="dxa"/>
            <w:vAlign w:val="bottom"/>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1037F0" w:rsidRPr="003F58D8" w:rsidTr="00CF7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037F0" w:rsidRPr="003F58D8" w:rsidRDefault="001037F0" w:rsidP="00CF7424">
            <w:pPr>
              <w:rPr>
                <w:rFonts w:asciiTheme="minorHAnsi" w:hAnsiTheme="minorHAnsi" w:cstheme="minorHAnsi"/>
                <w:b w:val="0"/>
                <w:bCs w:val="0"/>
                <w:sz w:val="20"/>
                <w:szCs w:val="20"/>
              </w:rPr>
            </w:pPr>
            <w:r w:rsidRPr="003F58D8">
              <w:rPr>
                <w:rFonts w:asciiTheme="minorHAnsi" w:hAnsiTheme="minorHAnsi" w:cstheme="minorHAnsi"/>
                <w:b w:val="0"/>
                <w:bCs w:val="0"/>
                <w:sz w:val="20"/>
                <w:szCs w:val="20"/>
              </w:rPr>
              <w:t>Mises en congés ou en JRTT</w:t>
            </w:r>
          </w:p>
        </w:tc>
        <w:tc>
          <w:tcPr>
            <w:tcW w:w="1276"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838"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1280"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1134"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314" w:type="dxa"/>
            <w:tcBorders>
              <w:top w:val="nil"/>
              <w:bottom w:val="nil"/>
            </w:tcBorders>
            <w:shd w:val="clear" w:color="auto" w:fill="auto"/>
          </w:tcPr>
          <w:p w:rsidR="001037F0" w:rsidRPr="003F58D8"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245"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837"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140"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276"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1037F0" w:rsidRPr="003F58D8" w:rsidTr="004138F5">
        <w:tc>
          <w:tcPr>
            <w:cnfStyle w:val="001000000000" w:firstRow="0" w:lastRow="0" w:firstColumn="1" w:lastColumn="0" w:oddVBand="0" w:evenVBand="0" w:oddHBand="0" w:evenHBand="0" w:firstRowFirstColumn="0" w:firstRowLastColumn="0" w:lastRowFirstColumn="0" w:lastRowLastColumn="0"/>
            <w:tcW w:w="3510" w:type="dxa"/>
          </w:tcPr>
          <w:p w:rsidR="001037F0" w:rsidRPr="003F58D8" w:rsidRDefault="001037F0" w:rsidP="00CF7424">
            <w:pPr>
              <w:rPr>
                <w:rFonts w:asciiTheme="minorHAnsi" w:hAnsiTheme="minorHAnsi" w:cstheme="minorHAnsi"/>
                <w:b w:val="0"/>
                <w:bCs w:val="0"/>
                <w:sz w:val="20"/>
                <w:szCs w:val="20"/>
              </w:rPr>
            </w:pPr>
            <w:r w:rsidRPr="003F58D8">
              <w:rPr>
                <w:rFonts w:asciiTheme="minorHAnsi" w:hAnsiTheme="minorHAnsi" w:cstheme="minorHAnsi"/>
                <w:b w:val="0"/>
                <w:bCs w:val="0"/>
                <w:sz w:val="20"/>
                <w:szCs w:val="20"/>
              </w:rPr>
              <w:t>Non remplacement des départs en fin de carrière</w:t>
            </w:r>
          </w:p>
        </w:tc>
        <w:tc>
          <w:tcPr>
            <w:tcW w:w="1276"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1838"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7%</w:t>
            </w:r>
          </w:p>
        </w:tc>
        <w:tc>
          <w:tcPr>
            <w:tcW w:w="1280"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11%</w:t>
            </w:r>
          </w:p>
        </w:tc>
        <w:tc>
          <w:tcPr>
            <w:tcW w:w="1134"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12%</w:t>
            </w:r>
          </w:p>
        </w:tc>
        <w:tc>
          <w:tcPr>
            <w:tcW w:w="314" w:type="dxa"/>
            <w:tcBorders>
              <w:top w:val="nil"/>
              <w:bottom w:val="nil"/>
            </w:tcBorders>
            <w:shd w:val="clear" w:color="auto" w:fill="auto"/>
            <w:vAlign w:val="center"/>
          </w:tcPr>
          <w:p w:rsidR="001037F0" w:rsidRPr="003F58D8"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1245"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7%</w:t>
            </w:r>
          </w:p>
        </w:tc>
        <w:tc>
          <w:tcPr>
            <w:tcW w:w="1837"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c>
          <w:tcPr>
            <w:tcW w:w="1140"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c>
          <w:tcPr>
            <w:tcW w:w="1276" w:type="dxa"/>
            <w:vAlign w:val="center"/>
          </w:tcPr>
          <w:p w:rsidR="001037F0" w:rsidRPr="004138F5" w:rsidRDefault="001037F0"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r>
      <w:tr w:rsidR="001037F0" w:rsidRPr="003F58D8" w:rsidTr="00CF7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037F0" w:rsidRPr="003F58D8" w:rsidRDefault="001037F0" w:rsidP="00CF7424">
            <w:pPr>
              <w:rPr>
                <w:rFonts w:asciiTheme="minorHAnsi" w:hAnsiTheme="minorHAnsi" w:cstheme="minorHAnsi"/>
                <w:b w:val="0"/>
                <w:bCs w:val="0"/>
                <w:sz w:val="20"/>
                <w:szCs w:val="20"/>
              </w:rPr>
            </w:pPr>
            <w:r w:rsidRPr="003F58D8">
              <w:rPr>
                <w:rFonts w:asciiTheme="minorHAnsi" w:hAnsiTheme="minorHAnsi" w:cstheme="minorHAnsi"/>
                <w:b w:val="0"/>
                <w:bCs w:val="0"/>
                <w:sz w:val="20"/>
                <w:szCs w:val="20"/>
              </w:rPr>
              <w:t>Non remplacement des autres départs</w:t>
            </w:r>
          </w:p>
        </w:tc>
        <w:tc>
          <w:tcPr>
            <w:tcW w:w="1276"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1838"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1280"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c>
          <w:tcPr>
            <w:tcW w:w="1134"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c>
          <w:tcPr>
            <w:tcW w:w="314" w:type="dxa"/>
            <w:tcBorders>
              <w:top w:val="nil"/>
              <w:bottom w:val="nil"/>
            </w:tcBorders>
            <w:shd w:val="clear" w:color="auto" w:fill="auto"/>
          </w:tcPr>
          <w:p w:rsidR="001037F0" w:rsidRPr="003F58D8" w:rsidRDefault="001037F0" w:rsidP="00CF74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245"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7%</w:t>
            </w:r>
          </w:p>
        </w:tc>
        <w:tc>
          <w:tcPr>
            <w:tcW w:w="1837"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8%</w:t>
            </w:r>
          </w:p>
        </w:tc>
        <w:tc>
          <w:tcPr>
            <w:tcW w:w="1140"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c>
          <w:tcPr>
            <w:tcW w:w="1276" w:type="dxa"/>
            <w:vAlign w:val="bottom"/>
          </w:tcPr>
          <w:p w:rsidR="001037F0" w:rsidRPr="004138F5" w:rsidRDefault="001037F0"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10%</w:t>
            </w:r>
          </w:p>
        </w:tc>
      </w:tr>
    </w:tbl>
    <w:p w:rsidR="001037F0" w:rsidRDefault="001037F0" w:rsidP="001037F0">
      <w:pPr>
        <w:jc w:val="both"/>
        <w:rPr>
          <w:rFonts w:ascii="Calibri" w:hAnsi="Calibri" w:cs="Calibri"/>
        </w:rPr>
      </w:pPr>
    </w:p>
    <w:p w:rsidR="001037F0" w:rsidRDefault="001037F0" w:rsidP="00F501C6">
      <w:pPr>
        <w:jc w:val="both"/>
        <w:rPr>
          <w:rFonts w:ascii="Calibri" w:hAnsi="Calibri" w:cs="Calibri"/>
        </w:rPr>
      </w:pPr>
      <w:r>
        <w:rPr>
          <w:rFonts w:ascii="Calibri" w:hAnsi="Calibri" w:cs="Calibri"/>
        </w:rPr>
        <w:t>12% des établissements de 100 salariés et plus, et 10% des établissements de 50 à 99 salariés</w:t>
      </w:r>
      <w:r w:rsidR="00D800B1">
        <w:rPr>
          <w:rFonts w:ascii="Calibri" w:hAnsi="Calibri" w:cs="Calibri"/>
        </w:rPr>
        <w:t>,</w:t>
      </w:r>
      <w:r>
        <w:rPr>
          <w:rFonts w:ascii="Calibri" w:hAnsi="Calibri" w:cs="Calibri"/>
        </w:rPr>
        <w:t xml:space="preserve"> prévoient de réduire les effectifs logistiques en 2015 en ne remplaçant pas les départs à la retraite</w:t>
      </w:r>
      <w:r w:rsidR="00D800B1">
        <w:rPr>
          <w:rFonts w:ascii="Calibri" w:hAnsi="Calibri" w:cs="Calibri"/>
        </w:rPr>
        <w:t xml:space="preserve"> (mesure privilégiée</w:t>
      </w:r>
      <w:r w:rsidR="00B92ACD">
        <w:rPr>
          <w:rFonts w:ascii="Calibri" w:hAnsi="Calibri" w:cs="Calibri"/>
        </w:rPr>
        <w:t xml:space="preserve"> pour réduire la voilure,</w:t>
      </w:r>
      <w:r w:rsidR="00D800B1">
        <w:rPr>
          <w:rFonts w:ascii="Calibri" w:hAnsi="Calibri" w:cs="Calibri"/>
        </w:rPr>
        <w:t xml:space="preserve"> loin devant les licenciements économiques ou le chômage partiel).</w:t>
      </w:r>
    </w:p>
    <w:p w:rsidR="00442B2A" w:rsidRDefault="00442B2A" w:rsidP="00F501C6">
      <w:pPr>
        <w:jc w:val="both"/>
        <w:rPr>
          <w:rFonts w:asciiTheme="minorHAnsi" w:hAnsiTheme="minorHAnsi" w:cstheme="minorHAnsi"/>
          <w:b/>
          <w:color w:val="984806" w:themeColor="accent6" w:themeShade="80"/>
          <w:sz w:val="32"/>
          <w:szCs w:val="32"/>
        </w:rPr>
      </w:pPr>
      <w:r>
        <w:rPr>
          <w:rFonts w:asciiTheme="minorHAnsi" w:hAnsiTheme="minorHAnsi" w:cstheme="minorHAnsi"/>
          <w:b/>
          <w:color w:val="984806" w:themeColor="accent6" w:themeShade="80"/>
          <w:sz w:val="32"/>
          <w:szCs w:val="32"/>
        </w:rPr>
        <w:br w:type="page"/>
      </w:r>
    </w:p>
    <w:p w:rsidR="002B1371" w:rsidRPr="00520BAE" w:rsidRDefault="002B1371" w:rsidP="002B1371">
      <w:pPr>
        <w:numPr>
          <w:ilvl w:val="1"/>
          <w:numId w:val="8"/>
        </w:numPr>
        <w:jc w:val="both"/>
        <w:rPr>
          <w:rFonts w:asciiTheme="minorHAnsi" w:hAnsiTheme="minorHAnsi" w:cstheme="minorHAnsi"/>
          <w:b/>
          <w:color w:val="984806" w:themeColor="accent6" w:themeShade="80"/>
          <w:sz w:val="32"/>
          <w:szCs w:val="32"/>
        </w:rPr>
      </w:pPr>
      <w:r w:rsidRPr="00520BAE">
        <w:rPr>
          <w:rFonts w:asciiTheme="minorHAnsi" w:hAnsiTheme="minorHAnsi" w:cstheme="minorHAnsi"/>
          <w:b/>
          <w:color w:val="984806" w:themeColor="accent6" w:themeShade="80"/>
          <w:sz w:val="32"/>
          <w:szCs w:val="32"/>
        </w:rPr>
        <w:t>Gestion des recrutements</w:t>
      </w:r>
    </w:p>
    <w:p w:rsidR="002B1371" w:rsidRPr="002436B1" w:rsidRDefault="002B1371" w:rsidP="002B1371">
      <w:pPr>
        <w:rPr>
          <w:rFonts w:ascii="Calibri" w:hAnsi="Calibri" w:cs="Calibri"/>
          <w:color w:val="4F6228"/>
        </w:rPr>
      </w:pPr>
    </w:p>
    <w:p w:rsidR="002B1371" w:rsidRPr="00AF11F6" w:rsidRDefault="001D7542" w:rsidP="002B1371">
      <w:pPr>
        <w:rPr>
          <w:rFonts w:ascii="Arial Black" w:hAnsi="Arial Black" w:cs="Calibri"/>
          <w:b/>
          <w:bCs/>
          <w:color w:val="632423"/>
        </w:rPr>
      </w:pPr>
      <w:r>
        <w:rPr>
          <w:rFonts w:ascii="Arial Black" w:hAnsi="Arial Black" w:cs="Calibri"/>
          <w:b/>
          <w:bCs/>
          <w:color w:val="632423"/>
        </w:rPr>
        <w:t>Près d’un établissement sur deux a</w:t>
      </w:r>
      <w:r w:rsidR="002B1371" w:rsidRPr="00AF11F6">
        <w:rPr>
          <w:rFonts w:ascii="Arial Black" w:hAnsi="Arial Black" w:cs="Calibri"/>
          <w:b/>
          <w:bCs/>
          <w:color w:val="632423"/>
        </w:rPr>
        <w:t xml:space="preserve"> recruté du personnel logistique en 201</w:t>
      </w:r>
      <w:r>
        <w:rPr>
          <w:rFonts w:ascii="Arial Black" w:hAnsi="Arial Black" w:cs="Calibri"/>
          <w:b/>
          <w:bCs/>
          <w:color w:val="632423"/>
        </w:rPr>
        <w:t>4</w:t>
      </w:r>
      <w:r w:rsidR="002B1371" w:rsidRPr="00AF11F6">
        <w:rPr>
          <w:rFonts w:ascii="Arial Black" w:hAnsi="Arial Black" w:cs="Calibri"/>
          <w:b/>
          <w:bCs/>
          <w:color w:val="632423"/>
        </w:rPr>
        <w:t xml:space="preserve"> </w:t>
      </w:r>
    </w:p>
    <w:p w:rsidR="002B1371" w:rsidRPr="002436B1" w:rsidRDefault="002B1371" w:rsidP="002B1371">
      <w:pPr>
        <w:rPr>
          <w:rFonts w:ascii="Calibri" w:hAnsi="Calibri" w:cs="Calibri"/>
        </w:rPr>
      </w:pPr>
    </w:p>
    <w:p w:rsidR="002B1371" w:rsidRDefault="002B1371" w:rsidP="002B1371">
      <w:pPr>
        <w:jc w:val="center"/>
        <w:rPr>
          <w:rFonts w:ascii="Calibri" w:hAnsi="Calibri" w:cs="Calibri"/>
          <w:b/>
          <w:bCs/>
        </w:rPr>
      </w:pPr>
      <w:r w:rsidRPr="002436B1">
        <w:rPr>
          <w:rFonts w:ascii="Calibri" w:hAnsi="Calibri" w:cs="Calibri"/>
          <w:b/>
          <w:bCs/>
        </w:rPr>
        <w:t>Evolution de la proportion d’établissements ayant réalisé des recrutements par secteur</w:t>
      </w:r>
    </w:p>
    <w:p w:rsidR="006E1EF4" w:rsidRPr="00B23B7E" w:rsidRDefault="006E1EF4" w:rsidP="002B1371">
      <w:pPr>
        <w:jc w:val="center"/>
        <w:rPr>
          <w:rFonts w:ascii="Calibri" w:hAnsi="Calibri" w:cs="Calibri"/>
          <w:b/>
          <w:bCs/>
          <w:sz w:val="22"/>
        </w:rPr>
      </w:pPr>
    </w:p>
    <w:p w:rsidR="009D2B3C" w:rsidRPr="002436B1" w:rsidRDefault="002B1371" w:rsidP="009D2B3C">
      <w:pPr>
        <w:rPr>
          <w:rFonts w:ascii="Calibri" w:hAnsi="Calibri" w:cs="Calibri"/>
          <w:i/>
          <w:iCs/>
        </w:rPr>
      </w:pPr>
      <w:r w:rsidRPr="002436B1">
        <w:rPr>
          <w:rFonts w:ascii="Calibri" w:hAnsi="Calibri" w:cs="Calibri"/>
          <w:i/>
          <w:iCs/>
        </w:rPr>
        <w:t>Etablissements de 100 salariés et plus</w:t>
      </w:r>
      <w:r w:rsidR="009D2B3C">
        <w:rPr>
          <w:rFonts w:ascii="Calibri" w:hAnsi="Calibri" w:cs="Calibri"/>
          <w:i/>
          <w:iCs/>
        </w:rPr>
        <w:tab/>
        <w:t xml:space="preserve">                                                              </w:t>
      </w:r>
      <w:r w:rsidR="009D2B3C" w:rsidRPr="002436B1">
        <w:rPr>
          <w:rFonts w:ascii="Calibri" w:hAnsi="Calibri" w:cs="Calibri"/>
          <w:i/>
          <w:iCs/>
        </w:rPr>
        <w:t>Etablissements de 50 à 99 salariés</w:t>
      </w:r>
    </w:p>
    <w:p w:rsidR="002B1371" w:rsidRPr="002436B1" w:rsidRDefault="009D2B3C" w:rsidP="002B1371">
      <w:pPr>
        <w:rPr>
          <w:rFonts w:ascii="Calibri" w:hAnsi="Calibri" w:cs="Calibri"/>
          <w:i/>
          <w:iCs/>
        </w:rPr>
      </w:pPr>
      <w:r>
        <w:rPr>
          <w:rFonts w:ascii="Calibri" w:hAnsi="Calibri" w:cs="Calibri"/>
          <w:noProof/>
        </w:rPr>
        <mc:AlternateContent>
          <mc:Choice Requires="wps">
            <w:drawing>
              <wp:anchor distT="0" distB="0" distL="114300" distR="114300" simplePos="0" relativeHeight="251653120" behindDoc="0" locked="0" layoutInCell="1" allowOverlap="1" wp14:anchorId="2B6487D7" wp14:editId="4ABC057E">
                <wp:simplePos x="0" y="0"/>
                <wp:positionH relativeFrom="column">
                  <wp:posOffset>6069258</wp:posOffset>
                </wp:positionH>
                <wp:positionV relativeFrom="paragraph">
                  <wp:posOffset>2221685</wp:posOffset>
                </wp:positionV>
                <wp:extent cx="2514600" cy="1373505"/>
                <wp:effectExtent l="0" t="0" r="0" b="0"/>
                <wp:wrapNone/>
                <wp:docPr id="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0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103"/>
                            </w:tblGrid>
                            <w:tr w:rsidR="00C5293D" w:rsidRPr="00A720B8" w:rsidTr="00295A60">
                              <w:trPr>
                                <w:trHeight w:val="1687"/>
                                <w:jc w:val="center"/>
                              </w:trPr>
                              <w:tc>
                                <w:tcPr>
                                  <w:tcW w:w="4103" w:type="dxa"/>
                                </w:tcPr>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IAA : Industrie agroalimentaire</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PHAR : Pharmacie, parfumerie et entretien</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AUTO : Industrie automobile</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IEM : Industrie des équipements mécaniques</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CHIM : Chimie, caoutchouc, plastiques</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COM : Commerce</w:t>
                                  </w:r>
                                </w:p>
                                <w:p w:rsidR="00C5293D" w:rsidRPr="00A720B8" w:rsidRDefault="00C5293D" w:rsidP="00CF3884">
                                  <w:pPr>
                                    <w:rPr>
                                      <w:rFonts w:asciiTheme="minorHAnsi" w:hAnsiTheme="minorHAnsi" w:cstheme="minorHAnsi"/>
                                      <w:sz w:val="16"/>
                                    </w:rPr>
                                  </w:pPr>
                                  <w:r w:rsidRPr="00A720B8">
                                    <w:rPr>
                                      <w:rFonts w:asciiTheme="minorHAnsi" w:hAnsiTheme="minorHAnsi" w:cstheme="minorHAnsi"/>
                                      <w:sz w:val="20"/>
                                      <w:szCs w:val="20"/>
                                    </w:rPr>
                                    <w:t xml:space="preserve">TRP : Prestataires </w:t>
                                  </w:r>
                                  <w:r>
                                    <w:rPr>
                                      <w:rFonts w:asciiTheme="minorHAnsi" w:hAnsiTheme="minorHAnsi" w:cstheme="minorHAnsi"/>
                                      <w:sz w:val="20"/>
                                      <w:szCs w:val="20"/>
                                    </w:rPr>
                                    <w:t>t</w:t>
                                  </w:r>
                                  <w:r w:rsidRPr="00A720B8">
                                    <w:rPr>
                                      <w:rFonts w:asciiTheme="minorHAnsi" w:hAnsiTheme="minorHAnsi" w:cstheme="minorHAnsi"/>
                                      <w:sz w:val="20"/>
                                      <w:szCs w:val="20"/>
                                    </w:rPr>
                                    <w:t>ransport</w:t>
                                  </w:r>
                                  <w:r>
                                    <w:rPr>
                                      <w:rFonts w:asciiTheme="minorHAnsi" w:hAnsiTheme="minorHAnsi" w:cstheme="minorHAnsi"/>
                                      <w:sz w:val="20"/>
                                      <w:szCs w:val="20"/>
                                    </w:rPr>
                                    <w:t>-l</w:t>
                                  </w:r>
                                  <w:r w:rsidRPr="00A720B8">
                                    <w:rPr>
                                      <w:rFonts w:asciiTheme="minorHAnsi" w:hAnsiTheme="minorHAnsi" w:cstheme="minorHAnsi"/>
                                      <w:sz w:val="20"/>
                                      <w:szCs w:val="20"/>
                                    </w:rPr>
                                    <w:t>ogistique</w:t>
                                  </w:r>
                                </w:p>
                              </w:tc>
                            </w:tr>
                          </w:tbl>
                          <w:p w:rsidR="00C5293D" w:rsidRPr="00A720B8" w:rsidRDefault="00C5293D" w:rsidP="002B1371">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6" type="#_x0000_t202" style="position:absolute;margin-left:477.9pt;margin-top:174.95pt;width:198pt;height:10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0Otw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OE9sfcZBZ+B2P4Cj2YMB+uy46uFOVl81EnLZUrFhN0rJsWW0hvxCe9M/&#10;uzrhaAuyHj/IGgLRrZEOaN+o3hYPyoEAHfr0eOqNTaaCwygOSRKAqQJbeDm7jIPYxaDZ8fqgtHnH&#10;ZI/sIscKmu/g6e5OG5sOzY4uNpqQJe86J4BOPDsAx+kEgsNVa7NpuH7+SIN0NV/NiUeiZOWRoCi8&#10;m3JJvKQMZ3FxWSyXRfjTxg1J1vK6ZsKGOWorJH/Wu4PKJ1Wc1KVlx2sLZ1PSarNedgrtKGi7dN+h&#10;IGdu/vM0XBGAywtKYUSC2yj1ymQ+80hJYi+dBXMvCNPbNAlISoryOaU7Lti/U0JjjtM4iic1/ZZb&#10;4L7X3GjWcwPTo+N9jucnJ5pZDa5E7VprKO+m9VkpbPpPpYB2HxvtFGtFOsnV7Nd7QLEyXsv6EbSr&#10;JCgLVAgjDxatVN8xGmF85Fh/21LFMOreC9B/GhJi543bkHgWwUadW9bnFioqgMqxwWhaLs00o7aD&#10;4psWIk0vTsgbeDMNd2p+yurw0mBEOFKHcWZn0PneeT0N3cUvAAAA//8DAFBLAwQUAAYACAAAACEA&#10;jba2IN8AAAAMAQAADwAAAGRycy9kb3ducmV2LnhtbEyPS0/DMBCE70j8B2uRuFG7D0ckZFMhEFcQ&#10;5SFxc+NtEhGvo9htwr/HPcFxZ0cz35Tb2fXiRGPoPCMsFwoEce1txw3C+9vTzS2IEA1b03smhB8K&#10;sK0uL0pTWD/xK512sREphENhENoYh0LKULfkTFj4gTj9Dn50JqZzbKQdzZTCXS9XSmXSmY5TQ2sG&#10;emip/t4dHcLH8+Hrc6Nemkenh8nPSrLLJeL11Xx/ByLSHP/McMZP6FAlpr0/sg2iR8i1TugRYb3J&#10;cxBnx1ovk7RH0Fm2AlmV8v+I6hcAAP//AwBQSwECLQAUAAYACAAAACEAtoM4kv4AAADhAQAAEwAA&#10;AAAAAAAAAAAAAAAAAAAAW0NvbnRlbnRfVHlwZXNdLnhtbFBLAQItABQABgAIAAAAIQA4/SH/1gAA&#10;AJQBAAALAAAAAAAAAAAAAAAAAC8BAABfcmVscy8ucmVsc1BLAQItABQABgAIAAAAIQA0Na0OtwIA&#10;ALwFAAAOAAAAAAAAAAAAAAAAAC4CAABkcnMvZTJvRG9jLnhtbFBLAQItABQABgAIAAAAIQCNtrYg&#10;3wAAAAwBAAAPAAAAAAAAAAAAAAAAABEFAABkcnMvZG93bnJldi54bWxQSwUGAAAAAAQABADzAAAA&#10;HQYAAAAA&#10;" filled="f" stroked="f">
                <v:textbox>
                  <w:txbxContent>
                    <w:tbl>
                      <w:tblPr>
                        <w:tblW w:w="410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103"/>
                      </w:tblGrid>
                      <w:tr w:rsidR="00C5293D" w:rsidRPr="00A720B8" w:rsidTr="00295A60">
                        <w:trPr>
                          <w:trHeight w:val="1687"/>
                          <w:jc w:val="center"/>
                        </w:trPr>
                        <w:tc>
                          <w:tcPr>
                            <w:tcW w:w="4103" w:type="dxa"/>
                          </w:tcPr>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IAA : Industrie agroalimentaire</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PHAR : Pharmacie, parfumerie et entretien</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AUTO : Industrie automobile</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IEM : Industrie des équipements mécaniques</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CHIM : Chimie, caoutchouc, plastiques</w:t>
                            </w:r>
                          </w:p>
                          <w:p w:rsidR="00C5293D" w:rsidRPr="00A720B8" w:rsidRDefault="00C5293D">
                            <w:pPr>
                              <w:rPr>
                                <w:rFonts w:asciiTheme="minorHAnsi" w:hAnsiTheme="minorHAnsi" w:cstheme="minorHAnsi"/>
                                <w:sz w:val="20"/>
                                <w:szCs w:val="20"/>
                              </w:rPr>
                            </w:pPr>
                            <w:r w:rsidRPr="00A720B8">
                              <w:rPr>
                                <w:rFonts w:asciiTheme="minorHAnsi" w:hAnsiTheme="minorHAnsi" w:cstheme="minorHAnsi"/>
                                <w:sz w:val="20"/>
                                <w:szCs w:val="20"/>
                              </w:rPr>
                              <w:t>COM : Commerce</w:t>
                            </w:r>
                          </w:p>
                          <w:p w:rsidR="00C5293D" w:rsidRPr="00A720B8" w:rsidRDefault="00C5293D" w:rsidP="00CF3884">
                            <w:pPr>
                              <w:rPr>
                                <w:rFonts w:asciiTheme="minorHAnsi" w:hAnsiTheme="minorHAnsi" w:cstheme="minorHAnsi"/>
                                <w:sz w:val="16"/>
                              </w:rPr>
                            </w:pPr>
                            <w:r w:rsidRPr="00A720B8">
                              <w:rPr>
                                <w:rFonts w:asciiTheme="minorHAnsi" w:hAnsiTheme="minorHAnsi" w:cstheme="minorHAnsi"/>
                                <w:sz w:val="20"/>
                                <w:szCs w:val="20"/>
                              </w:rPr>
                              <w:t xml:space="preserve">TRP : Prestataires </w:t>
                            </w:r>
                            <w:r>
                              <w:rPr>
                                <w:rFonts w:asciiTheme="minorHAnsi" w:hAnsiTheme="minorHAnsi" w:cstheme="minorHAnsi"/>
                                <w:sz w:val="20"/>
                                <w:szCs w:val="20"/>
                              </w:rPr>
                              <w:t>t</w:t>
                            </w:r>
                            <w:r w:rsidRPr="00A720B8">
                              <w:rPr>
                                <w:rFonts w:asciiTheme="minorHAnsi" w:hAnsiTheme="minorHAnsi" w:cstheme="minorHAnsi"/>
                                <w:sz w:val="20"/>
                                <w:szCs w:val="20"/>
                              </w:rPr>
                              <w:t>ransport</w:t>
                            </w:r>
                            <w:r>
                              <w:rPr>
                                <w:rFonts w:asciiTheme="minorHAnsi" w:hAnsiTheme="minorHAnsi" w:cstheme="minorHAnsi"/>
                                <w:sz w:val="20"/>
                                <w:szCs w:val="20"/>
                              </w:rPr>
                              <w:t>-l</w:t>
                            </w:r>
                            <w:r w:rsidRPr="00A720B8">
                              <w:rPr>
                                <w:rFonts w:asciiTheme="minorHAnsi" w:hAnsiTheme="minorHAnsi" w:cstheme="minorHAnsi"/>
                                <w:sz w:val="20"/>
                                <w:szCs w:val="20"/>
                              </w:rPr>
                              <w:t>ogistique</w:t>
                            </w:r>
                          </w:p>
                        </w:tc>
                      </w:tr>
                    </w:tbl>
                    <w:p w:rsidR="00C5293D" w:rsidRPr="00A720B8" w:rsidRDefault="00C5293D" w:rsidP="002B1371">
                      <w:pPr>
                        <w:rPr>
                          <w:rFonts w:asciiTheme="minorHAnsi" w:hAnsiTheme="minorHAnsi" w:cstheme="minorHAnsi"/>
                        </w:rPr>
                      </w:pPr>
                    </w:p>
                  </w:txbxContent>
                </v:textbox>
              </v:shape>
            </w:pict>
          </mc:Fallback>
        </mc:AlternateContent>
      </w:r>
      <w:r>
        <w:rPr>
          <w:rFonts w:ascii="Calibri" w:hAnsi="Calibri" w:cs="Calibri"/>
          <w:noProof/>
        </w:rPr>
        <w:drawing>
          <wp:inline distT="0" distB="0" distL="0" distR="0" wp14:anchorId="2A2B8A11" wp14:editId="635C791A">
            <wp:extent cx="4676775" cy="5000625"/>
            <wp:effectExtent l="0" t="0" r="9525" b="952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Calibri" w:hAnsi="Calibri" w:cs="Calibri"/>
          <w:noProof/>
        </w:rPr>
        <w:drawing>
          <wp:inline distT="0" distB="0" distL="0" distR="0" wp14:anchorId="6D9ECCDC" wp14:editId="0025FBC7">
            <wp:extent cx="4219575" cy="4933950"/>
            <wp:effectExtent l="0" t="0" r="9525" b="1905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1371" w:rsidRPr="002436B1" w:rsidRDefault="002B1371" w:rsidP="002B1371">
      <w:pPr>
        <w:jc w:val="both"/>
        <w:rPr>
          <w:rFonts w:ascii="Calibri" w:hAnsi="Calibri" w:cs="Calibri"/>
          <w:bCs/>
        </w:rPr>
      </w:pPr>
      <w:r w:rsidRPr="002436B1">
        <w:rPr>
          <w:rFonts w:ascii="Calibri" w:hAnsi="Calibri" w:cs="Calibri"/>
          <w:bCs/>
        </w:rPr>
        <w:t>4</w:t>
      </w:r>
      <w:r w:rsidR="008E6DEE">
        <w:rPr>
          <w:rFonts w:ascii="Calibri" w:hAnsi="Calibri" w:cs="Calibri"/>
          <w:bCs/>
        </w:rPr>
        <w:t>7</w:t>
      </w:r>
      <w:r w:rsidRPr="002436B1">
        <w:rPr>
          <w:rFonts w:ascii="Calibri" w:hAnsi="Calibri" w:cs="Calibri"/>
          <w:bCs/>
        </w:rPr>
        <w:t>% des établissements interrogés, toutes tailles confondues, ont recruté du personnel logistique en 201</w:t>
      </w:r>
      <w:r w:rsidR="008E6DEE">
        <w:rPr>
          <w:rFonts w:ascii="Calibri" w:hAnsi="Calibri" w:cs="Calibri"/>
          <w:bCs/>
        </w:rPr>
        <w:t>4</w:t>
      </w:r>
      <w:r w:rsidRPr="002436B1">
        <w:rPr>
          <w:rFonts w:ascii="Calibri" w:hAnsi="Calibri" w:cs="Calibri"/>
          <w:bCs/>
        </w:rPr>
        <w:t xml:space="preserve">, soit </w:t>
      </w:r>
      <w:r w:rsidR="008E6DEE">
        <w:rPr>
          <w:rFonts w:ascii="Calibri" w:hAnsi="Calibri" w:cs="Calibri"/>
          <w:bCs/>
        </w:rPr>
        <w:t>trois points de plus</w:t>
      </w:r>
      <w:r w:rsidRPr="002436B1">
        <w:rPr>
          <w:rFonts w:ascii="Calibri" w:hAnsi="Calibri" w:cs="Calibri"/>
          <w:bCs/>
        </w:rPr>
        <w:t xml:space="preserve"> qu’en 201</w:t>
      </w:r>
      <w:r w:rsidR="008E6DEE">
        <w:rPr>
          <w:rFonts w:ascii="Calibri" w:hAnsi="Calibri" w:cs="Calibri"/>
          <w:bCs/>
        </w:rPr>
        <w:t>3</w:t>
      </w:r>
      <w:r w:rsidRPr="002436B1">
        <w:rPr>
          <w:rFonts w:ascii="Calibri" w:hAnsi="Calibri" w:cs="Calibri"/>
          <w:bCs/>
        </w:rPr>
        <w:t xml:space="preserve">. </w:t>
      </w:r>
    </w:p>
    <w:p w:rsidR="002B1371" w:rsidRPr="002436B1" w:rsidRDefault="002B1371" w:rsidP="002B1371">
      <w:pPr>
        <w:jc w:val="both"/>
        <w:rPr>
          <w:rFonts w:ascii="Calibri" w:hAnsi="Calibri" w:cs="Calibri"/>
          <w:bCs/>
        </w:rPr>
      </w:pPr>
    </w:p>
    <w:p w:rsidR="002B1371" w:rsidRPr="002436B1" w:rsidRDefault="00734112" w:rsidP="002B1371">
      <w:pPr>
        <w:jc w:val="both"/>
        <w:rPr>
          <w:rFonts w:ascii="Calibri" w:hAnsi="Calibri" w:cs="Calibri"/>
          <w:bCs/>
        </w:rPr>
      </w:pPr>
      <w:r>
        <w:rPr>
          <w:rFonts w:ascii="Calibri" w:hAnsi="Calibri" w:cs="Calibri"/>
          <w:bCs/>
        </w:rPr>
        <w:t xml:space="preserve">Les établissements de l’industrie agroalimentaire et de la pharmacie sont ceux qui ont le plus fréquemment recruté </w:t>
      </w:r>
      <w:r w:rsidR="00761AC1">
        <w:rPr>
          <w:rFonts w:ascii="Calibri" w:hAnsi="Calibri" w:cs="Calibri"/>
          <w:bCs/>
        </w:rPr>
        <w:t xml:space="preserve">du personnel logistique </w:t>
      </w:r>
      <w:r>
        <w:rPr>
          <w:rFonts w:ascii="Calibri" w:hAnsi="Calibri" w:cs="Calibri"/>
          <w:bCs/>
        </w:rPr>
        <w:t>(respectivement 55% et 54%)</w:t>
      </w:r>
      <w:r w:rsidR="002B1371" w:rsidRPr="002436B1">
        <w:rPr>
          <w:rFonts w:ascii="Calibri" w:hAnsi="Calibri" w:cs="Calibri"/>
          <w:bCs/>
        </w:rPr>
        <w:t>.</w:t>
      </w:r>
    </w:p>
    <w:p w:rsidR="00A720B8" w:rsidRPr="002436B1" w:rsidRDefault="00A720B8" w:rsidP="002B1371">
      <w:pPr>
        <w:jc w:val="both"/>
        <w:rPr>
          <w:rFonts w:ascii="Calibri" w:hAnsi="Calibri" w:cs="Calibri"/>
          <w:bCs/>
        </w:rPr>
      </w:pPr>
    </w:p>
    <w:p w:rsidR="002B1371" w:rsidRPr="00AF11F6" w:rsidRDefault="009443E2" w:rsidP="002B1371">
      <w:pPr>
        <w:rPr>
          <w:rFonts w:ascii="Arial Black" w:hAnsi="Arial Black" w:cs="Calibri"/>
          <w:b/>
          <w:bCs/>
          <w:color w:val="632423"/>
        </w:rPr>
      </w:pPr>
      <w:r w:rsidRPr="009443E2">
        <w:rPr>
          <w:rFonts w:ascii="Arial Black" w:hAnsi="Arial Black" w:cs="Calibri"/>
          <w:b/>
          <w:bCs/>
          <w:color w:val="632423"/>
        </w:rPr>
        <w:t>Moins</w:t>
      </w:r>
      <w:r w:rsidR="002B1371" w:rsidRPr="009443E2">
        <w:rPr>
          <w:rFonts w:ascii="Arial Black" w:hAnsi="Arial Black" w:cs="Calibri"/>
          <w:b/>
          <w:bCs/>
          <w:color w:val="632423"/>
        </w:rPr>
        <w:t xml:space="preserve"> d’établissements ont recruté </w:t>
      </w:r>
      <w:r>
        <w:rPr>
          <w:rFonts w:ascii="Arial Black" w:hAnsi="Arial Black" w:cs="Calibri"/>
          <w:b/>
          <w:bCs/>
          <w:color w:val="632423"/>
        </w:rPr>
        <w:t>du personnel d’encadrement</w:t>
      </w:r>
    </w:p>
    <w:p w:rsidR="002B1371" w:rsidRPr="002436B1" w:rsidRDefault="002B1371" w:rsidP="002B1371">
      <w:pPr>
        <w:jc w:val="both"/>
        <w:rPr>
          <w:rFonts w:ascii="Calibri" w:hAnsi="Calibri" w:cs="Calibri"/>
          <w:bCs/>
        </w:rPr>
      </w:pPr>
    </w:p>
    <w:p w:rsidR="002B1371" w:rsidRPr="002436B1" w:rsidRDefault="002B1371" w:rsidP="002B1371">
      <w:pPr>
        <w:jc w:val="center"/>
        <w:rPr>
          <w:rFonts w:ascii="Calibri" w:hAnsi="Calibri" w:cs="Calibri"/>
          <w:b/>
          <w:bCs/>
        </w:rPr>
      </w:pPr>
      <w:r w:rsidRPr="002436B1">
        <w:rPr>
          <w:rFonts w:ascii="Calibri" w:hAnsi="Calibri" w:cs="Calibri"/>
          <w:b/>
          <w:bCs/>
        </w:rPr>
        <w:t xml:space="preserve">Pourcentage d'établissements </w:t>
      </w:r>
      <w:r w:rsidR="007B1C8D">
        <w:rPr>
          <w:rFonts w:ascii="Calibri" w:hAnsi="Calibri" w:cs="Calibri"/>
          <w:b/>
          <w:bCs/>
        </w:rPr>
        <w:t>déclarant avoir réalisé</w:t>
      </w:r>
      <w:r w:rsidRPr="002436B1">
        <w:rPr>
          <w:rFonts w:ascii="Calibri" w:hAnsi="Calibri" w:cs="Calibri"/>
          <w:b/>
          <w:bCs/>
        </w:rPr>
        <w:t xml:space="preserve"> des recrutements en logistique</w:t>
      </w:r>
      <w:r w:rsidR="002E40F6">
        <w:rPr>
          <w:rFonts w:ascii="Calibri" w:hAnsi="Calibri" w:cs="Calibri"/>
          <w:b/>
          <w:bCs/>
        </w:rPr>
        <w:t xml:space="preserve"> </w:t>
      </w:r>
      <w:r w:rsidRPr="002436B1">
        <w:rPr>
          <w:rFonts w:ascii="Calibri" w:hAnsi="Calibri" w:cs="Calibri"/>
          <w:b/>
          <w:bCs/>
        </w:rPr>
        <w:t>par catégorie d'emploi</w:t>
      </w:r>
    </w:p>
    <w:p w:rsidR="002B1371" w:rsidRPr="002436B1" w:rsidRDefault="002B1371" w:rsidP="002B1371">
      <w:pPr>
        <w:rPr>
          <w:rFonts w:ascii="Calibri" w:hAnsi="Calibri" w:cs="Calibri"/>
        </w:rPr>
      </w:pPr>
    </w:p>
    <w:p w:rsidR="002B1371" w:rsidRDefault="00A720B8" w:rsidP="002B1371">
      <w:pPr>
        <w:rPr>
          <w:rFonts w:ascii="Calibri" w:hAnsi="Calibri" w:cs="Calibri"/>
          <w:i/>
          <w:iCs/>
        </w:rPr>
      </w:pPr>
      <w:r>
        <w:rPr>
          <w:rFonts w:ascii="Calibri" w:hAnsi="Calibri" w:cs="Calibri"/>
          <w:i/>
          <w:iCs/>
        </w:rPr>
        <w:t xml:space="preserve">                                   </w:t>
      </w:r>
      <w:r w:rsidR="002E40F6">
        <w:rPr>
          <w:rFonts w:ascii="Calibri" w:hAnsi="Calibri" w:cs="Calibri"/>
          <w:i/>
          <w:iCs/>
        </w:rPr>
        <w:t xml:space="preserve">              </w:t>
      </w:r>
      <w:r w:rsidR="002B1371" w:rsidRPr="002436B1">
        <w:rPr>
          <w:rFonts w:ascii="Calibri" w:hAnsi="Calibri" w:cs="Calibri"/>
          <w:i/>
          <w:iCs/>
        </w:rPr>
        <w:t>Etablissements de 100 salariés et plus</w:t>
      </w:r>
      <w:r>
        <w:rPr>
          <w:rFonts w:ascii="Calibri" w:hAnsi="Calibri" w:cs="Calibri"/>
          <w:i/>
          <w:iCs/>
        </w:rPr>
        <w:t xml:space="preserve">                              </w:t>
      </w:r>
      <w:r w:rsidR="002E40F6">
        <w:rPr>
          <w:rFonts w:ascii="Calibri" w:hAnsi="Calibri" w:cs="Calibri"/>
          <w:i/>
          <w:iCs/>
        </w:rPr>
        <w:t xml:space="preserve">       </w:t>
      </w:r>
      <w:r>
        <w:rPr>
          <w:rFonts w:ascii="Calibri" w:hAnsi="Calibri" w:cs="Calibri"/>
          <w:i/>
          <w:iCs/>
        </w:rPr>
        <w:t xml:space="preserve">               </w:t>
      </w:r>
      <w:r w:rsidR="002E40F6">
        <w:rPr>
          <w:rFonts w:ascii="Calibri" w:hAnsi="Calibri" w:cs="Calibri"/>
          <w:i/>
          <w:iCs/>
        </w:rPr>
        <w:t xml:space="preserve">  </w:t>
      </w:r>
      <w:r w:rsidRPr="002436B1">
        <w:rPr>
          <w:rFonts w:ascii="Calibri" w:hAnsi="Calibri" w:cs="Calibri"/>
          <w:i/>
          <w:iCs/>
        </w:rPr>
        <w:t>Etablissements de 50 à 99 salariés</w:t>
      </w:r>
    </w:p>
    <w:tbl>
      <w:tblPr>
        <w:tblStyle w:val="Trameclaire-Accent4"/>
        <w:tblW w:w="4597" w:type="pct"/>
        <w:tblLayout w:type="fixed"/>
        <w:tblLook w:val="04A0" w:firstRow="1" w:lastRow="0" w:firstColumn="1" w:lastColumn="0" w:noHBand="0" w:noVBand="1"/>
      </w:tblPr>
      <w:tblGrid>
        <w:gridCol w:w="1242"/>
        <w:gridCol w:w="2373"/>
        <w:gridCol w:w="2245"/>
        <w:gridCol w:w="1873"/>
        <w:gridCol w:w="607"/>
        <w:gridCol w:w="1873"/>
        <w:gridCol w:w="1945"/>
        <w:gridCol w:w="1696"/>
      </w:tblGrid>
      <w:tr w:rsidR="00A56B21" w:rsidRPr="00A257C6" w:rsidTr="00A56B2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rPr>
                <w:rFonts w:asciiTheme="minorHAnsi" w:hAnsiTheme="minorHAnsi" w:cstheme="minorHAnsi"/>
                <w:b w:val="0"/>
                <w:bCs w:val="0"/>
                <w:color w:val="auto"/>
                <w:sz w:val="22"/>
              </w:rPr>
            </w:pPr>
          </w:p>
        </w:tc>
        <w:tc>
          <w:tcPr>
            <w:tcW w:w="856" w:type="pct"/>
            <w:noWrap/>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Cadres</w:t>
            </w:r>
          </w:p>
        </w:tc>
        <w:tc>
          <w:tcPr>
            <w:tcW w:w="810" w:type="pct"/>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Techniciens/</w:t>
            </w:r>
          </w:p>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Agent de maîtrise</w:t>
            </w:r>
          </w:p>
        </w:tc>
        <w:tc>
          <w:tcPr>
            <w:tcW w:w="676" w:type="pct"/>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Opérateurs</w:t>
            </w:r>
          </w:p>
        </w:tc>
        <w:tc>
          <w:tcPr>
            <w:tcW w:w="219" w:type="pct"/>
            <w:tcBorders>
              <w:top w:val="nil"/>
              <w:bottom w:val="nil"/>
            </w:tcBorders>
            <w:shd w:val="clear" w:color="auto" w:fill="FFFFFF" w:themeFill="background1"/>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p>
        </w:tc>
        <w:tc>
          <w:tcPr>
            <w:tcW w:w="676" w:type="pct"/>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Cadres</w:t>
            </w:r>
          </w:p>
        </w:tc>
        <w:tc>
          <w:tcPr>
            <w:tcW w:w="702" w:type="pct"/>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Techniciens/</w:t>
            </w:r>
          </w:p>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Agent de maîtrise</w:t>
            </w:r>
          </w:p>
        </w:tc>
        <w:tc>
          <w:tcPr>
            <w:tcW w:w="612" w:type="pct"/>
          </w:tcPr>
          <w:p w:rsidR="00A720B8" w:rsidRPr="00A257C6" w:rsidRDefault="00A720B8" w:rsidP="002E40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Opérateurs</w:t>
            </w:r>
          </w:p>
        </w:tc>
      </w:tr>
      <w:tr w:rsidR="00A56B21" w:rsidRPr="00A257C6" w:rsidTr="00A56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2008</w:t>
            </w:r>
          </w:p>
        </w:tc>
        <w:tc>
          <w:tcPr>
            <w:tcW w:w="85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10%</w:t>
            </w:r>
          </w:p>
        </w:tc>
        <w:tc>
          <w:tcPr>
            <w:tcW w:w="810"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14%</w:t>
            </w:r>
          </w:p>
        </w:tc>
        <w:tc>
          <w:tcPr>
            <w:tcW w:w="67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35%</w:t>
            </w:r>
          </w:p>
        </w:tc>
        <w:tc>
          <w:tcPr>
            <w:tcW w:w="219" w:type="pct"/>
            <w:tcBorders>
              <w:top w:val="nil"/>
              <w:bottom w:val="nil"/>
            </w:tcBorders>
            <w:shd w:val="clear" w:color="auto" w:fill="FFFFFF" w:themeFill="background1"/>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p>
        </w:tc>
        <w:tc>
          <w:tcPr>
            <w:tcW w:w="67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w:t>
            </w:r>
          </w:p>
        </w:tc>
        <w:tc>
          <w:tcPr>
            <w:tcW w:w="702"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14%</w:t>
            </w:r>
          </w:p>
        </w:tc>
        <w:tc>
          <w:tcPr>
            <w:tcW w:w="612"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42%</w:t>
            </w:r>
          </w:p>
        </w:tc>
      </w:tr>
      <w:tr w:rsidR="00A56B21" w:rsidRPr="00A257C6" w:rsidTr="00A56B21">
        <w:trPr>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2009</w:t>
            </w:r>
          </w:p>
        </w:tc>
        <w:tc>
          <w:tcPr>
            <w:tcW w:w="85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7%</w:t>
            </w:r>
          </w:p>
        </w:tc>
        <w:tc>
          <w:tcPr>
            <w:tcW w:w="810"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8%</w:t>
            </w:r>
          </w:p>
        </w:tc>
        <w:tc>
          <w:tcPr>
            <w:tcW w:w="67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26%</w:t>
            </w:r>
          </w:p>
        </w:tc>
        <w:tc>
          <w:tcPr>
            <w:tcW w:w="219" w:type="pct"/>
            <w:tcBorders>
              <w:top w:val="nil"/>
              <w:bottom w:val="nil"/>
            </w:tcBorders>
            <w:shd w:val="clear" w:color="auto" w:fill="FFFFFF" w:themeFill="background1"/>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p>
        </w:tc>
        <w:tc>
          <w:tcPr>
            <w:tcW w:w="67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w:t>
            </w:r>
          </w:p>
        </w:tc>
        <w:tc>
          <w:tcPr>
            <w:tcW w:w="702"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2%</w:t>
            </w:r>
          </w:p>
        </w:tc>
        <w:tc>
          <w:tcPr>
            <w:tcW w:w="612"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17%</w:t>
            </w:r>
          </w:p>
        </w:tc>
      </w:tr>
      <w:tr w:rsidR="00A56B21" w:rsidRPr="00A257C6" w:rsidTr="00A56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2010</w:t>
            </w:r>
          </w:p>
        </w:tc>
        <w:tc>
          <w:tcPr>
            <w:tcW w:w="85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6%</w:t>
            </w:r>
          </w:p>
        </w:tc>
        <w:tc>
          <w:tcPr>
            <w:tcW w:w="810"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9%</w:t>
            </w:r>
          </w:p>
        </w:tc>
        <w:tc>
          <w:tcPr>
            <w:tcW w:w="67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30%</w:t>
            </w:r>
          </w:p>
        </w:tc>
        <w:tc>
          <w:tcPr>
            <w:tcW w:w="219" w:type="pct"/>
            <w:tcBorders>
              <w:top w:val="nil"/>
              <w:bottom w:val="nil"/>
            </w:tcBorders>
            <w:shd w:val="clear" w:color="auto" w:fill="FFFFFF" w:themeFill="background1"/>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p>
        </w:tc>
        <w:tc>
          <w:tcPr>
            <w:tcW w:w="67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6%</w:t>
            </w:r>
          </w:p>
        </w:tc>
        <w:tc>
          <w:tcPr>
            <w:tcW w:w="702"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12%</w:t>
            </w:r>
          </w:p>
        </w:tc>
        <w:tc>
          <w:tcPr>
            <w:tcW w:w="612"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30%</w:t>
            </w:r>
          </w:p>
        </w:tc>
      </w:tr>
      <w:tr w:rsidR="00A56B21" w:rsidRPr="00A257C6" w:rsidTr="00A56B21">
        <w:trPr>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2011</w:t>
            </w:r>
          </w:p>
        </w:tc>
        <w:tc>
          <w:tcPr>
            <w:tcW w:w="85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7%</w:t>
            </w:r>
          </w:p>
        </w:tc>
        <w:tc>
          <w:tcPr>
            <w:tcW w:w="810"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14%</w:t>
            </w:r>
          </w:p>
        </w:tc>
        <w:tc>
          <w:tcPr>
            <w:tcW w:w="67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38%</w:t>
            </w:r>
          </w:p>
        </w:tc>
        <w:tc>
          <w:tcPr>
            <w:tcW w:w="219" w:type="pct"/>
            <w:tcBorders>
              <w:top w:val="nil"/>
              <w:bottom w:val="nil"/>
            </w:tcBorders>
            <w:shd w:val="clear" w:color="auto" w:fill="FFFFFF" w:themeFill="background1"/>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p>
        </w:tc>
        <w:tc>
          <w:tcPr>
            <w:tcW w:w="67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4%</w:t>
            </w:r>
          </w:p>
        </w:tc>
        <w:tc>
          <w:tcPr>
            <w:tcW w:w="702"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w:t>
            </w:r>
          </w:p>
        </w:tc>
        <w:tc>
          <w:tcPr>
            <w:tcW w:w="612"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44%</w:t>
            </w:r>
          </w:p>
        </w:tc>
      </w:tr>
      <w:tr w:rsidR="00A56B21" w:rsidRPr="00A257C6" w:rsidTr="00A56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2012</w:t>
            </w:r>
          </w:p>
        </w:tc>
        <w:tc>
          <w:tcPr>
            <w:tcW w:w="85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7%</w:t>
            </w:r>
          </w:p>
        </w:tc>
        <w:tc>
          <w:tcPr>
            <w:tcW w:w="810"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12%</w:t>
            </w:r>
          </w:p>
        </w:tc>
        <w:tc>
          <w:tcPr>
            <w:tcW w:w="67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32%</w:t>
            </w:r>
          </w:p>
        </w:tc>
        <w:tc>
          <w:tcPr>
            <w:tcW w:w="219" w:type="pct"/>
            <w:tcBorders>
              <w:top w:val="nil"/>
              <w:bottom w:val="nil"/>
            </w:tcBorders>
            <w:shd w:val="clear" w:color="auto" w:fill="FFFFFF" w:themeFill="background1"/>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p>
        </w:tc>
        <w:tc>
          <w:tcPr>
            <w:tcW w:w="676"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6%</w:t>
            </w:r>
          </w:p>
        </w:tc>
        <w:tc>
          <w:tcPr>
            <w:tcW w:w="702"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19%</w:t>
            </w:r>
          </w:p>
        </w:tc>
        <w:tc>
          <w:tcPr>
            <w:tcW w:w="612" w:type="pct"/>
          </w:tcPr>
          <w:p w:rsidR="00A720B8" w:rsidRPr="00A257C6" w:rsidRDefault="00A720B8"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35%</w:t>
            </w:r>
          </w:p>
        </w:tc>
      </w:tr>
      <w:tr w:rsidR="00A56B21" w:rsidRPr="00A257C6" w:rsidTr="00A56B21">
        <w:trPr>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A720B8" w:rsidRPr="00A257C6" w:rsidRDefault="00A720B8"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2013</w:t>
            </w:r>
          </w:p>
        </w:tc>
        <w:tc>
          <w:tcPr>
            <w:tcW w:w="85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8%</w:t>
            </w:r>
          </w:p>
        </w:tc>
        <w:tc>
          <w:tcPr>
            <w:tcW w:w="810"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13%</w:t>
            </w:r>
          </w:p>
        </w:tc>
        <w:tc>
          <w:tcPr>
            <w:tcW w:w="67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32%</w:t>
            </w:r>
          </w:p>
        </w:tc>
        <w:tc>
          <w:tcPr>
            <w:tcW w:w="219" w:type="pct"/>
            <w:tcBorders>
              <w:top w:val="nil"/>
              <w:bottom w:val="nil"/>
            </w:tcBorders>
            <w:shd w:val="clear" w:color="auto" w:fill="FFFFFF" w:themeFill="background1"/>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p>
        </w:tc>
        <w:tc>
          <w:tcPr>
            <w:tcW w:w="676"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8%</w:t>
            </w:r>
          </w:p>
        </w:tc>
        <w:tc>
          <w:tcPr>
            <w:tcW w:w="702"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w:t>
            </w:r>
          </w:p>
        </w:tc>
        <w:tc>
          <w:tcPr>
            <w:tcW w:w="612" w:type="pct"/>
          </w:tcPr>
          <w:p w:rsidR="00A720B8" w:rsidRPr="00A257C6" w:rsidRDefault="00A720B8" w:rsidP="003300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43%</w:t>
            </w:r>
          </w:p>
        </w:tc>
      </w:tr>
      <w:tr w:rsidR="00A56B21" w:rsidRPr="00A257C6" w:rsidTr="00A56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8" w:type="pct"/>
            <w:noWrap/>
          </w:tcPr>
          <w:p w:rsidR="009049D2" w:rsidRPr="00A257C6" w:rsidRDefault="009049D2" w:rsidP="003300B7">
            <w:pPr>
              <w:ind w:left="188"/>
              <w:rPr>
                <w:rFonts w:asciiTheme="minorHAnsi" w:hAnsiTheme="minorHAnsi" w:cstheme="minorHAnsi"/>
                <w:b w:val="0"/>
                <w:bCs w:val="0"/>
                <w:color w:val="auto"/>
                <w:sz w:val="22"/>
              </w:rPr>
            </w:pPr>
            <w:r w:rsidRPr="00A257C6">
              <w:rPr>
                <w:rFonts w:asciiTheme="minorHAnsi" w:hAnsiTheme="minorHAnsi" w:cstheme="minorHAnsi"/>
                <w:b w:val="0"/>
                <w:bCs w:val="0"/>
                <w:color w:val="auto"/>
                <w:sz w:val="22"/>
              </w:rPr>
              <w:t>2014</w:t>
            </w:r>
          </w:p>
        </w:tc>
        <w:tc>
          <w:tcPr>
            <w:tcW w:w="856" w:type="pct"/>
          </w:tcPr>
          <w:p w:rsidR="009049D2" w:rsidRPr="00A257C6" w:rsidRDefault="007B1C8D"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5%</w:t>
            </w:r>
          </w:p>
        </w:tc>
        <w:tc>
          <w:tcPr>
            <w:tcW w:w="810" w:type="pct"/>
          </w:tcPr>
          <w:p w:rsidR="009049D2" w:rsidRPr="00A257C6" w:rsidRDefault="007B1C8D"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11%</w:t>
            </w:r>
          </w:p>
        </w:tc>
        <w:tc>
          <w:tcPr>
            <w:tcW w:w="676" w:type="pct"/>
          </w:tcPr>
          <w:p w:rsidR="009049D2" w:rsidRPr="00A257C6" w:rsidRDefault="007B1C8D"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39%</w:t>
            </w:r>
          </w:p>
        </w:tc>
        <w:tc>
          <w:tcPr>
            <w:tcW w:w="219" w:type="pct"/>
            <w:tcBorders>
              <w:top w:val="nil"/>
              <w:bottom w:val="nil"/>
            </w:tcBorders>
            <w:shd w:val="clear" w:color="auto" w:fill="FFFFFF" w:themeFill="background1"/>
          </w:tcPr>
          <w:p w:rsidR="009049D2" w:rsidRPr="00A257C6" w:rsidRDefault="009049D2"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p>
        </w:tc>
        <w:tc>
          <w:tcPr>
            <w:tcW w:w="676" w:type="pct"/>
          </w:tcPr>
          <w:p w:rsidR="009049D2" w:rsidRPr="00A257C6" w:rsidRDefault="007B1C8D"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7%</w:t>
            </w:r>
          </w:p>
        </w:tc>
        <w:tc>
          <w:tcPr>
            <w:tcW w:w="702" w:type="pct"/>
          </w:tcPr>
          <w:p w:rsidR="009049D2" w:rsidRPr="00A257C6" w:rsidRDefault="007B1C8D"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1%</w:t>
            </w:r>
          </w:p>
        </w:tc>
        <w:tc>
          <w:tcPr>
            <w:tcW w:w="612" w:type="pct"/>
          </w:tcPr>
          <w:p w:rsidR="009049D2" w:rsidRPr="00A257C6" w:rsidRDefault="007B1C8D" w:rsidP="003300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A257C6">
              <w:rPr>
                <w:rFonts w:asciiTheme="minorHAnsi" w:hAnsiTheme="minorHAnsi" w:cstheme="minorHAnsi"/>
                <w:bCs/>
                <w:color w:val="auto"/>
                <w:sz w:val="22"/>
              </w:rPr>
              <w:t>43%</w:t>
            </w:r>
          </w:p>
        </w:tc>
      </w:tr>
    </w:tbl>
    <w:p w:rsidR="002B1371" w:rsidRPr="002436B1" w:rsidRDefault="002B1371" w:rsidP="002B1371">
      <w:pPr>
        <w:rPr>
          <w:rFonts w:ascii="Calibri" w:hAnsi="Calibri" w:cs="Calibri"/>
        </w:rPr>
      </w:pPr>
    </w:p>
    <w:p w:rsidR="002B1371" w:rsidRDefault="009443E2" w:rsidP="009443E2">
      <w:pPr>
        <w:jc w:val="both"/>
        <w:rPr>
          <w:rFonts w:ascii="Calibri" w:hAnsi="Calibri" w:cs="Calibri"/>
        </w:rPr>
      </w:pPr>
      <w:r>
        <w:rPr>
          <w:rFonts w:ascii="Calibri" w:hAnsi="Calibri" w:cs="Calibri"/>
        </w:rPr>
        <w:t xml:space="preserve">Quelle que soit la taille des établissements sondés, ils sont moins nombreux que l’an dernier à déclarer avoir recruté du personnel d’encadrement logistique au cours du précédent exercice. </w:t>
      </w:r>
      <w:r w:rsidR="009134D2">
        <w:rPr>
          <w:rFonts w:ascii="Calibri" w:hAnsi="Calibri" w:cs="Calibri"/>
        </w:rPr>
        <w:t>A titre d’illustration, 5% des établissements de 100 salariés et plus déclarent avoir recruté en 2014 des cadres de la lo</w:t>
      </w:r>
      <w:r w:rsidR="00761AC1">
        <w:rPr>
          <w:rFonts w:ascii="Calibri" w:hAnsi="Calibri" w:cs="Calibri"/>
        </w:rPr>
        <w:t>gistique, soit trois points de</w:t>
      </w:r>
      <w:r w:rsidR="009134D2">
        <w:rPr>
          <w:rFonts w:ascii="Calibri" w:hAnsi="Calibri" w:cs="Calibri"/>
        </w:rPr>
        <w:t xml:space="preserve"> moins qu’en 2013.</w:t>
      </w:r>
    </w:p>
    <w:p w:rsidR="009443E2" w:rsidRDefault="009443E2" w:rsidP="009443E2">
      <w:pPr>
        <w:jc w:val="both"/>
        <w:rPr>
          <w:rFonts w:ascii="Calibri" w:hAnsi="Calibri" w:cs="Calibri"/>
        </w:rPr>
      </w:pPr>
    </w:p>
    <w:p w:rsidR="009443E2" w:rsidRDefault="00886C0B" w:rsidP="009443E2">
      <w:pPr>
        <w:jc w:val="both"/>
        <w:rPr>
          <w:rFonts w:ascii="Calibri" w:hAnsi="Calibri" w:cs="Calibri"/>
        </w:rPr>
      </w:pPr>
      <w:r>
        <w:rPr>
          <w:rFonts w:ascii="Calibri" w:hAnsi="Calibri" w:cs="Calibri"/>
        </w:rPr>
        <w:t>Ce sont en fait les opérateurs logistiques qui sont les principaux bénéficiaires de la hausse des recrutements : 32% des établissements de 100 salariés et plus en ont recruté en 2013, et 39% en 2014.</w:t>
      </w:r>
    </w:p>
    <w:p w:rsidR="009443E2" w:rsidRPr="002436B1" w:rsidRDefault="009443E2" w:rsidP="009443E2">
      <w:pPr>
        <w:jc w:val="both"/>
        <w:rPr>
          <w:rFonts w:ascii="Calibri" w:hAnsi="Calibri" w:cs="Calibri"/>
        </w:rPr>
      </w:pPr>
    </w:p>
    <w:p w:rsidR="003300B7" w:rsidRDefault="003300B7">
      <w:pPr>
        <w:rPr>
          <w:rFonts w:ascii="Arial Black" w:hAnsi="Arial Black" w:cs="Calibri"/>
          <w:b/>
          <w:bCs/>
          <w:color w:val="632423"/>
        </w:rPr>
      </w:pPr>
      <w:r>
        <w:rPr>
          <w:rFonts w:ascii="Arial Black" w:hAnsi="Arial Black" w:cs="Calibri"/>
          <w:b/>
          <w:bCs/>
          <w:color w:val="632423"/>
        </w:rPr>
        <w:br w:type="page"/>
      </w:r>
    </w:p>
    <w:p w:rsidR="002B1371" w:rsidRPr="00AF11F6" w:rsidRDefault="00DD6778" w:rsidP="002B1371">
      <w:pPr>
        <w:rPr>
          <w:rFonts w:ascii="Arial Black" w:hAnsi="Arial Black" w:cs="Calibri"/>
          <w:b/>
          <w:bCs/>
          <w:color w:val="632423"/>
        </w:rPr>
      </w:pPr>
      <w:r w:rsidRPr="00DD6778">
        <w:rPr>
          <w:rFonts w:ascii="Arial Black" w:hAnsi="Arial Black" w:cs="Calibri"/>
          <w:b/>
          <w:bCs/>
          <w:color w:val="632423"/>
        </w:rPr>
        <w:t>S</w:t>
      </w:r>
      <w:r w:rsidR="002B1371" w:rsidRPr="00DD6778">
        <w:rPr>
          <w:rFonts w:ascii="Arial Black" w:hAnsi="Arial Black" w:cs="Calibri"/>
          <w:b/>
          <w:bCs/>
          <w:color w:val="632423"/>
        </w:rPr>
        <w:t>tratégie et organisation logistique</w:t>
      </w:r>
      <w:r>
        <w:rPr>
          <w:rFonts w:ascii="Arial Black" w:hAnsi="Arial Black" w:cs="Calibri"/>
          <w:b/>
          <w:bCs/>
          <w:color w:val="632423"/>
        </w:rPr>
        <w:t xml:space="preserve"> sont au cœur des missions confiées au personnel d’encadrement recruté</w:t>
      </w:r>
    </w:p>
    <w:p w:rsidR="003300B7" w:rsidRDefault="003300B7"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Fonctions logistiques qui ont donné lieu à des recrutements en 201</w:t>
      </w:r>
      <w:bookmarkStart w:id="3" w:name="OLE_LINK1"/>
      <w:r w:rsidR="001C5C8C">
        <w:rPr>
          <w:rFonts w:ascii="Calibri" w:hAnsi="Calibri" w:cs="Calibri"/>
          <w:b/>
          <w:bCs/>
        </w:rPr>
        <w:t>4</w:t>
      </w:r>
      <w:r w:rsidR="002E40F6">
        <w:rPr>
          <w:rFonts w:ascii="Calibri" w:hAnsi="Calibri" w:cs="Calibri"/>
          <w:b/>
          <w:bCs/>
        </w:rPr>
        <w:t xml:space="preserve"> </w:t>
      </w:r>
      <w:r w:rsidRPr="002436B1">
        <w:rPr>
          <w:rFonts w:ascii="Calibri" w:hAnsi="Calibri" w:cs="Calibri"/>
          <w:b/>
          <w:bCs/>
        </w:rPr>
        <w:t xml:space="preserve">(en </w:t>
      </w:r>
      <w:r w:rsidR="002E40F6">
        <w:rPr>
          <w:rFonts w:ascii="Calibri" w:hAnsi="Calibri" w:cs="Calibri"/>
          <w:b/>
          <w:bCs/>
        </w:rPr>
        <w:t>%</w:t>
      </w:r>
      <w:r w:rsidRPr="002436B1">
        <w:rPr>
          <w:rFonts w:ascii="Calibri" w:hAnsi="Calibri" w:cs="Calibri"/>
          <w:b/>
          <w:bCs/>
        </w:rPr>
        <w:t xml:space="preserve"> d’établissements ayant cité l’item)</w:t>
      </w:r>
    </w:p>
    <w:bookmarkEnd w:id="3"/>
    <w:p w:rsidR="002B1371" w:rsidRPr="002436B1" w:rsidRDefault="002B1371" w:rsidP="002B1371">
      <w:pPr>
        <w:rPr>
          <w:rFonts w:ascii="Calibri" w:hAnsi="Calibri" w:cs="Calibri"/>
        </w:rPr>
      </w:pPr>
    </w:p>
    <w:p w:rsidR="002E40F6" w:rsidRDefault="002E40F6" w:rsidP="002E40F6">
      <w:pPr>
        <w:rPr>
          <w:rFonts w:ascii="Calibri" w:hAnsi="Calibri" w:cs="Calibri"/>
          <w:i/>
          <w:iCs/>
        </w:rPr>
      </w:pPr>
      <w:r>
        <w:rPr>
          <w:rFonts w:ascii="Calibri" w:hAnsi="Calibri" w:cs="Calibri"/>
          <w:i/>
          <w:iCs/>
        </w:rPr>
        <w:t xml:space="preserve">                                                                        </w:t>
      </w:r>
      <w:r w:rsidRPr="002436B1">
        <w:rPr>
          <w:rFonts w:ascii="Calibri" w:hAnsi="Calibri" w:cs="Calibri"/>
          <w:i/>
          <w:iCs/>
        </w:rPr>
        <w:t>Etablissements de 100 salariés et plus</w:t>
      </w:r>
      <w:r>
        <w:rPr>
          <w:rFonts w:ascii="Calibri" w:hAnsi="Calibri" w:cs="Calibri"/>
          <w:i/>
          <w:iCs/>
        </w:rPr>
        <w:t xml:space="preserve">                              </w:t>
      </w:r>
      <w:r w:rsidRPr="002436B1">
        <w:rPr>
          <w:rFonts w:ascii="Calibri" w:hAnsi="Calibri" w:cs="Calibri"/>
          <w:i/>
          <w:iCs/>
        </w:rPr>
        <w:t>Etablissements de 50 à 99 salariés</w:t>
      </w:r>
    </w:p>
    <w:tbl>
      <w:tblPr>
        <w:tblStyle w:val="Listemoyenne1-Accent3"/>
        <w:tblW w:w="4833" w:type="pct"/>
        <w:tblLayout w:type="fixed"/>
        <w:tblLook w:val="0480" w:firstRow="0" w:lastRow="0" w:firstColumn="1" w:lastColumn="0" w:noHBand="0" w:noVBand="1"/>
      </w:tblPr>
      <w:tblGrid>
        <w:gridCol w:w="4020"/>
        <w:gridCol w:w="1547"/>
        <w:gridCol w:w="1783"/>
        <w:gridCol w:w="1547"/>
        <w:gridCol w:w="428"/>
        <w:gridCol w:w="1701"/>
        <w:gridCol w:w="1856"/>
        <w:gridCol w:w="1684"/>
      </w:tblGrid>
      <w:tr w:rsidR="002E40F6" w:rsidRPr="002E40F6" w:rsidTr="009134D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80" w:type="pct"/>
            <w:tcBorders>
              <w:top w:val="single" w:sz="8" w:space="0" w:color="9BBB59" w:themeColor="accent3"/>
              <w:bottom w:val="single" w:sz="8" w:space="0" w:color="9BBB59" w:themeColor="accent3"/>
            </w:tcBorders>
            <w:noWrap/>
            <w:vAlign w:val="center"/>
          </w:tcPr>
          <w:p w:rsidR="002E40F6" w:rsidRPr="002E40F6" w:rsidRDefault="002E40F6" w:rsidP="00AE7DFF">
            <w:pPr>
              <w:rPr>
                <w:rFonts w:asciiTheme="minorHAnsi" w:hAnsiTheme="minorHAnsi" w:cstheme="minorHAnsi"/>
                <w:b w:val="0"/>
                <w:bCs w:val="0"/>
                <w:sz w:val="20"/>
                <w:szCs w:val="20"/>
              </w:rPr>
            </w:pPr>
          </w:p>
        </w:tc>
        <w:tc>
          <w:tcPr>
            <w:tcW w:w="531" w:type="pct"/>
            <w:tcBorders>
              <w:top w:val="single" w:sz="8" w:space="0" w:color="9BBB59" w:themeColor="accent3"/>
              <w:bottom w:val="single" w:sz="8" w:space="0" w:color="9BBB59" w:themeColor="accent3"/>
            </w:tcBorders>
            <w:noWrap/>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Cadres</w:t>
            </w:r>
          </w:p>
        </w:tc>
        <w:tc>
          <w:tcPr>
            <w:tcW w:w="612" w:type="pct"/>
            <w:tcBorders>
              <w:top w:val="single" w:sz="8" w:space="0" w:color="9BBB59" w:themeColor="accent3"/>
              <w:bottom w:val="single" w:sz="8" w:space="0" w:color="9BBB59" w:themeColor="accent3"/>
            </w:tcBorders>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Techniciens/</w:t>
            </w:r>
          </w:p>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Agent de maîtrise</w:t>
            </w:r>
          </w:p>
        </w:tc>
        <w:tc>
          <w:tcPr>
            <w:tcW w:w="531" w:type="pct"/>
            <w:tcBorders>
              <w:top w:val="single" w:sz="8" w:space="0" w:color="9BBB59" w:themeColor="accent3"/>
              <w:bottom w:val="single" w:sz="8" w:space="0" w:color="9BBB59" w:themeColor="accent3"/>
            </w:tcBorders>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Opérateurs</w:t>
            </w:r>
          </w:p>
        </w:tc>
        <w:tc>
          <w:tcPr>
            <w:tcW w:w="147" w:type="pct"/>
            <w:tcBorders>
              <w:top w:val="nil"/>
              <w:bottom w:val="nil"/>
            </w:tcBorders>
            <w:shd w:val="clear" w:color="auto" w:fill="FFFFFF" w:themeFill="background1"/>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584" w:type="pct"/>
            <w:tcBorders>
              <w:top w:val="single" w:sz="8" w:space="0" w:color="9BBB59" w:themeColor="accent3"/>
              <w:bottom w:val="single" w:sz="8" w:space="0" w:color="9BBB59" w:themeColor="accent3"/>
            </w:tcBorders>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Cadres</w:t>
            </w:r>
          </w:p>
        </w:tc>
        <w:tc>
          <w:tcPr>
            <w:tcW w:w="637" w:type="pct"/>
            <w:tcBorders>
              <w:top w:val="single" w:sz="8" w:space="0" w:color="9BBB59" w:themeColor="accent3"/>
              <w:bottom w:val="single" w:sz="8" w:space="0" w:color="9BBB59" w:themeColor="accent3"/>
            </w:tcBorders>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Techniciens/</w:t>
            </w:r>
          </w:p>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Agent de maîtrise</w:t>
            </w:r>
          </w:p>
        </w:tc>
        <w:tc>
          <w:tcPr>
            <w:tcW w:w="578" w:type="pct"/>
            <w:tcBorders>
              <w:top w:val="single" w:sz="8" w:space="0" w:color="9BBB59" w:themeColor="accent3"/>
              <w:bottom w:val="single" w:sz="8" w:space="0" w:color="9BBB59" w:themeColor="accent3"/>
            </w:tcBorders>
            <w:vAlign w:val="center"/>
          </w:tcPr>
          <w:p w:rsidR="002E40F6" w:rsidRPr="002E40F6" w:rsidRDefault="002E40F6"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40F6">
              <w:rPr>
                <w:rFonts w:asciiTheme="minorHAnsi" w:hAnsiTheme="minorHAnsi" w:cstheme="minorHAnsi"/>
                <w:bCs/>
                <w:sz w:val="20"/>
                <w:szCs w:val="20"/>
              </w:rPr>
              <w:t>Opérateurs</w:t>
            </w:r>
          </w:p>
        </w:tc>
      </w:tr>
      <w:tr w:rsidR="00DD6778" w:rsidRPr="002E40F6" w:rsidTr="00B41DC8">
        <w:trPr>
          <w:trHeight w:val="340"/>
        </w:trPr>
        <w:tc>
          <w:tcPr>
            <w:cnfStyle w:val="001000000000" w:firstRow="0" w:lastRow="0" w:firstColumn="1" w:lastColumn="0" w:oddVBand="0" w:evenVBand="0" w:oddHBand="0" w:evenHBand="0" w:firstRowFirstColumn="0" w:firstRowLastColumn="0" w:lastRowFirstColumn="0" w:lastRowLastColumn="0"/>
            <w:tcW w:w="1380" w:type="pct"/>
            <w:tcBorders>
              <w:top w:val="single" w:sz="8" w:space="0" w:color="9BBB59" w:themeColor="accent3"/>
            </w:tcBorders>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Stratégie et organisation logistique</w:t>
            </w:r>
          </w:p>
        </w:tc>
        <w:tc>
          <w:tcPr>
            <w:tcW w:w="531" w:type="pct"/>
            <w:tcBorders>
              <w:top w:val="single" w:sz="8" w:space="0" w:color="9BBB59" w:themeColor="accent3"/>
            </w:tcBorders>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64%</w:t>
            </w:r>
          </w:p>
        </w:tc>
        <w:tc>
          <w:tcPr>
            <w:tcW w:w="612" w:type="pct"/>
            <w:tcBorders>
              <w:top w:val="single" w:sz="8" w:space="0" w:color="9BBB59" w:themeColor="accent3"/>
            </w:tcBorders>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46%</w:t>
            </w:r>
          </w:p>
        </w:tc>
        <w:tc>
          <w:tcPr>
            <w:tcW w:w="531" w:type="pct"/>
            <w:tcBorders>
              <w:top w:val="single" w:sz="8" w:space="0" w:color="9BBB59" w:themeColor="accent3"/>
            </w:tcBorders>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3%</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c>
          <w:tcPr>
            <w:tcW w:w="584" w:type="pct"/>
            <w:tcBorders>
              <w:top w:val="single" w:sz="8" w:space="0" w:color="9BBB59" w:themeColor="accent3"/>
            </w:tcBorders>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95%</w:t>
            </w:r>
          </w:p>
        </w:tc>
        <w:tc>
          <w:tcPr>
            <w:tcW w:w="637" w:type="pct"/>
            <w:tcBorders>
              <w:top w:val="single" w:sz="8" w:space="0" w:color="9BBB59" w:themeColor="accent3"/>
            </w:tcBorders>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67%</w:t>
            </w:r>
          </w:p>
        </w:tc>
        <w:tc>
          <w:tcPr>
            <w:tcW w:w="578" w:type="pct"/>
            <w:tcBorders>
              <w:top w:val="single" w:sz="8" w:space="0" w:color="9BBB59" w:themeColor="accent3"/>
            </w:tcBorders>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9%</w:t>
            </w:r>
          </w:p>
        </w:tc>
      </w:tr>
      <w:tr w:rsidR="00DD6778" w:rsidRPr="002E40F6" w:rsidTr="00B41D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Achats / Approvisionnement</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12%</w:t>
            </w:r>
          </w:p>
        </w:tc>
        <w:tc>
          <w:tcPr>
            <w:tcW w:w="612"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21%</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5%</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r>
      <w:tr w:rsidR="00DD6778" w:rsidRPr="002E40F6" w:rsidTr="00B41DC8">
        <w:trPr>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Ordonnancement</w:t>
            </w:r>
          </w:p>
        </w:tc>
        <w:tc>
          <w:tcPr>
            <w:tcW w:w="531"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9%</w:t>
            </w:r>
          </w:p>
        </w:tc>
        <w:tc>
          <w:tcPr>
            <w:tcW w:w="612"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18%</w:t>
            </w:r>
          </w:p>
        </w:tc>
        <w:tc>
          <w:tcPr>
            <w:tcW w:w="531"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r>
      <w:tr w:rsidR="00DD6778" w:rsidRPr="002E40F6" w:rsidTr="00B41D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Entreposage / Stockage</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13%</w:t>
            </w:r>
          </w:p>
        </w:tc>
        <w:tc>
          <w:tcPr>
            <w:tcW w:w="612"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7%</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17%</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17%</w:t>
            </w:r>
          </w:p>
        </w:tc>
      </w:tr>
      <w:tr w:rsidR="00DD6778" w:rsidRPr="002E40F6" w:rsidTr="00B41DC8">
        <w:trPr>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Réception / Expédition</w:t>
            </w:r>
          </w:p>
        </w:tc>
        <w:tc>
          <w:tcPr>
            <w:tcW w:w="531"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w:t>
            </w:r>
          </w:p>
        </w:tc>
        <w:tc>
          <w:tcPr>
            <w:tcW w:w="612"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10%</w:t>
            </w:r>
          </w:p>
        </w:tc>
        <w:tc>
          <w:tcPr>
            <w:tcW w:w="531"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18%</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13%</w:t>
            </w:r>
          </w:p>
        </w:tc>
      </w:tr>
      <w:tr w:rsidR="00DD6778" w:rsidRPr="002E40F6" w:rsidTr="00B41D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Manutention et conduite d'engins de manu</w:t>
            </w:r>
            <w:r>
              <w:rPr>
                <w:rFonts w:asciiTheme="minorHAnsi" w:hAnsiTheme="minorHAnsi" w:cstheme="minorHAnsi"/>
                <w:b w:val="0"/>
                <w:bCs w:val="0"/>
                <w:sz w:val="20"/>
                <w:szCs w:val="20"/>
              </w:rPr>
              <w:t>t.</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12"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40%</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44%</w:t>
            </w:r>
          </w:p>
        </w:tc>
      </w:tr>
      <w:tr w:rsidR="00DD6778" w:rsidRPr="002E40F6" w:rsidTr="00B41DC8">
        <w:trPr>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Emballage / préparation de commandes</w:t>
            </w:r>
          </w:p>
        </w:tc>
        <w:tc>
          <w:tcPr>
            <w:tcW w:w="531"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6%</w:t>
            </w:r>
          </w:p>
        </w:tc>
        <w:tc>
          <w:tcPr>
            <w:tcW w:w="612"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6%</w:t>
            </w:r>
          </w:p>
        </w:tc>
        <w:tc>
          <w:tcPr>
            <w:tcW w:w="531"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51%</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43%</w:t>
            </w:r>
          </w:p>
        </w:tc>
      </w:tr>
      <w:tr w:rsidR="00DD6778" w:rsidRPr="002E40F6" w:rsidTr="00B41D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0" w:type="pct"/>
            <w:noWrap/>
            <w:vAlign w:val="center"/>
          </w:tcPr>
          <w:p w:rsidR="00DD6778" w:rsidRPr="002E40F6" w:rsidRDefault="00DD6778" w:rsidP="00AE7DFF">
            <w:pPr>
              <w:ind w:left="106"/>
              <w:rPr>
                <w:rFonts w:asciiTheme="minorHAnsi" w:hAnsiTheme="minorHAnsi" w:cstheme="minorHAnsi"/>
                <w:b w:val="0"/>
                <w:bCs w:val="0"/>
                <w:sz w:val="20"/>
                <w:szCs w:val="20"/>
              </w:rPr>
            </w:pPr>
            <w:r w:rsidRPr="002E40F6">
              <w:rPr>
                <w:rFonts w:asciiTheme="minorHAnsi" w:hAnsiTheme="minorHAnsi" w:cstheme="minorHAnsi"/>
                <w:b w:val="0"/>
                <w:bCs w:val="0"/>
                <w:sz w:val="20"/>
                <w:szCs w:val="20"/>
              </w:rPr>
              <w:t>Reverse Logistics</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12"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3%</w:t>
            </w:r>
          </w:p>
        </w:tc>
        <w:tc>
          <w:tcPr>
            <w:tcW w:w="531"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1%</w:t>
            </w:r>
          </w:p>
        </w:tc>
        <w:tc>
          <w:tcPr>
            <w:tcW w:w="147" w:type="pct"/>
            <w:tcBorders>
              <w:top w:val="nil"/>
              <w:bottom w:val="nil"/>
            </w:tcBorders>
            <w:shd w:val="clear" w:color="auto" w:fill="FFFFFF" w:themeFill="background1"/>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584"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637"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0%</w:t>
            </w:r>
          </w:p>
        </w:tc>
        <w:tc>
          <w:tcPr>
            <w:tcW w:w="578" w:type="pct"/>
            <w:vAlign w:val="center"/>
          </w:tcPr>
          <w:p w:rsidR="00DD6778" w:rsidRPr="00A257C6" w:rsidRDefault="00DD6778"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16"/>
              </w:rPr>
            </w:pPr>
            <w:r w:rsidRPr="00A257C6">
              <w:rPr>
                <w:rFonts w:ascii="Calibri" w:hAnsi="Calibri" w:cs="Calibri"/>
                <w:color w:val="000000"/>
                <w:sz w:val="22"/>
                <w:szCs w:val="16"/>
              </w:rPr>
              <w:t>3%</w:t>
            </w:r>
          </w:p>
        </w:tc>
      </w:tr>
    </w:tbl>
    <w:p w:rsidR="003300B7" w:rsidRDefault="003300B7" w:rsidP="002B1371">
      <w:pPr>
        <w:jc w:val="both"/>
        <w:rPr>
          <w:rFonts w:ascii="Calibri" w:hAnsi="Calibri" w:cs="Calibri"/>
        </w:rPr>
      </w:pPr>
    </w:p>
    <w:p w:rsidR="002B1371" w:rsidRDefault="00CE4FF7" w:rsidP="002B1371">
      <w:pPr>
        <w:jc w:val="both"/>
        <w:rPr>
          <w:rFonts w:ascii="Calibri" w:hAnsi="Calibri" w:cs="Calibri"/>
        </w:rPr>
      </w:pPr>
      <w:r>
        <w:rPr>
          <w:rFonts w:ascii="Calibri" w:hAnsi="Calibri" w:cs="Calibri"/>
        </w:rPr>
        <w:t>Les fonctions logistiques qui ont donné le plus souvent lieu à des recrutements de cadres ou techniciens/agents de maîtrise de la logistique en 2014 ont trait à la stratégie et à l’organisation logistique. Ainsi, 64% des établissements de 100 salariés</w:t>
      </w:r>
      <w:r w:rsidR="00E45DE8">
        <w:rPr>
          <w:rFonts w:ascii="Calibri" w:hAnsi="Calibri" w:cs="Calibri"/>
        </w:rPr>
        <w:t xml:space="preserve"> et plus</w:t>
      </w:r>
      <w:r>
        <w:rPr>
          <w:rFonts w:ascii="Calibri" w:hAnsi="Calibri" w:cs="Calibri"/>
        </w:rPr>
        <w:t xml:space="preserve">, et 67% des établissements de 50 à 99 salariés, ont recruté respectivement des cadres et des techniciens/agents de maîtrise de la logistique pour exercer ces missions. </w:t>
      </w:r>
    </w:p>
    <w:p w:rsidR="00DD6778" w:rsidRDefault="00DD6778" w:rsidP="002B1371">
      <w:pPr>
        <w:jc w:val="both"/>
        <w:rPr>
          <w:rFonts w:ascii="Calibri" w:hAnsi="Calibri" w:cs="Calibri"/>
        </w:rPr>
      </w:pPr>
    </w:p>
    <w:p w:rsidR="00DD6778" w:rsidRDefault="00960212" w:rsidP="002B1371">
      <w:pPr>
        <w:jc w:val="both"/>
        <w:rPr>
          <w:rFonts w:ascii="Calibri" w:hAnsi="Calibri" w:cs="Calibri"/>
        </w:rPr>
      </w:pPr>
      <w:r>
        <w:rPr>
          <w:rFonts w:ascii="Calibri" w:hAnsi="Calibri" w:cs="Calibri"/>
        </w:rPr>
        <w:t xml:space="preserve">Pour les opérateurs logistiques, </w:t>
      </w:r>
      <w:r w:rsidR="00E45DE8">
        <w:rPr>
          <w:rFonts w:ascii="Calibri" w:hAnsi="Calibri" w:cs="Calibri"/>
        </w:rPr>
        <w:t xml:space="preserve">les postes pourvus en 2014 </w:t>
      </w:r>
      <w:r w:rsidR="00786A0E">
        <w:rPr>
          <w:rFonts w:ascii="Calibri" w:hAnsi="Calibri" w:cs="Calibri"/>
        </w:rPr>
        <w:t>se rapportent généralement à l’emballage et la préparation de commandes (fonctions évoquées par la moitié des répondants d’établissements de 100 salariés et plus)</w:t>
      </w:r>
      <w:r w:rsidR="001D76C1">
        <w:rPr>
          <w:rFonts w:ascii="Calibri" w:hAnsi="Calibri" w:cs="Calibri"/>
        </w:rPr>
        <w:t xml:space="preserve"> et à la manutention et la conduite d’engins de manutention (citées par 44% des établissements de 50 à 99 salariés).</w:t>
      </w:r>
    </w:p>
    <w:p w:rsidR="00DD6778" w:rsidRPr="002436B1" w:rsidRDefault="00DD6778" w:rsidP="002B1371">
      <w:pPr>
        <w:jc w:val="both"/>
        <w:rPr>
          <w:rFonts w:ascii="Calibri" w:hAnsi="Calibri" w:cs="Calibri"/>
        </w:rPr>
      </w:pPr>
    </w:p>
    <w:p w:rsidR="003300B7" w:rsidRDefault="003300B7">
      <w:pPr>
        <w:rPr>
          <w:rFonts w:ascii="Arial Black" w:hAnsi="Arial Black" w:cs="Calibri"/>
          <w:b/>
          <w:bCs/>
          <w:color w:val="632423"/>
        </w:rPr>
      </w:pPr>
      <w:r>
        <w:rPr>
          <w:rFonts w:ascii="Arial Black" w:hAnsi="Arial Black" w:cs="Calibri"/>
          <w:b/>
          <w:bCs/>
          <w:color w:val="632423"/>
        </w:rPr>
        <w:br w:type="page"/>
      </w:r>
    </w:p>
    <w:p w:rsidR="002B1371" w:rsidRPr="00AF11F6" w:rsidRDefault="000643E9" w:rsidP="00370045">
      <w:pPr>
        <w:rPr>
          <w:rFonts w:ascii="Arial Black" w:hAnsi="Arial Black" w:cs="Calibri"/>
          <w:b/>
          <w:bCs/>
          <w:color w:val="632423"/>
        </w:rPr>
      </w:pPr>
      <w:r w:rsidRPr="000643E9">
        <w:rPr>
          <w:rFonts w:ascii="Arial Black" w:hAnsi="Arial Black" w:cs="Calibri"/>
          <w:b/>
          <w:bCs/>
          <w:color w:val="632423"/>
        </w:rPr>
        <w:t>Si les</w:t>
      </w:r>
      <w:r w:rsidR="002B1371" w:rsidRPr="000643E9">
        <w:rPr>
          <w:rFonts w:ascii="Arial Black" w:hAnsi="Arial Black" w:cs="Calibri"/>
          <w:b/>
          <w:bCs/>
          <w:color w:val="632423"/>
        </w:rPr>
        <w:t xml:space="preserve"> surcroît</w:t>
      </w:r>
      <w:r w:rsidRPr="000643E9">
        <w:rPr>
          <w:rFonts w:ascii="Arial Black" w:hAnsi="Arial Black" w:cs="Calibri"/>
          <w:b/>
          <w:bCs/>
          <w:color w:val="632423"/>
        </w:rPr>
        <w:t>s</w:t>
      </w:r>
      <w:r w:rsidR="002B1371" w:rsidRPr="000643E9">
        <w:rPr>
          <w:rFonts w:ascii="Arial Black" w:hAnsi="Arial Black" w:cs="Calibri"/>
          <w:b/>
          <w:bCs/>
          <w:color w:val="632423"/>
        </w:rPr>
        <w:t xml:space="preserve"> d’activité</w:t>
      </w:r>
      <w:r>
        <w:rPr>
          <w:rFonts w:ascii="Arial Black" w:hAnsi="Arial Black" w:cs="Calibri"/>
          <w:b/>
          <w:bCs/>
          <w:color w:val="632423"/>
        </w:rPr>
        <w:t xml:space="preserve"> expliquent les recrutements d’opérateurs logistiques, ceux de cadres sont davantage justifiés par les réorganisations logistiques</w:t>
      </w:r>
    </w:p>
    <w:p w:rsidR="002B1371" w:rsidRPr="002436B1" w:rsidRDefault="002B1371" w:rsidP="002B1371">
      <w:pPr>
        <w:jc w:val="both"/>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Motifs de recrutement par catégories d’emplois</w:t>
      </w:r>
      <w:r w:rsidR="00370045">
        <w:rPr>
          <w:rFonts w:ascii="Calibri" w:hAnsi="Calibri" w:cs="Calibri"/>
          <w:b/>
          <w:bCs/>
        </w:rPr>
        <w:t xml:space="preserve"> </w:t>
      </w:r>
      <w:r w:rsidRPr="002436B1">
        <w:rPr>
          <w:rFonts w:ascii="Calibri" w:hAnsi="Calibri" w:cs="Calibri"/>
          <w:b/>
          <w:bCs/>
        </w:rPr>
        <w:t xml:space="preserve">(en </w:t>
      </w:r>
      <w:r w:rsidR="00370045">
        <w:rPr>
          <w:rFonts w:ascii="Calibri" w:hAnsi="Calibri" w:cs="Calibri"/>
          <w:b/>
          <w:bCs/>
        </w:rPr>
        <w:t>%</w:t>
      </w:r>
      <w:r w:rsidRPr="002436B1">
        <w:rPr>
          <w:rFonts w:ascii="Calibri" w:hAnsi="Calibri" w:cs="Calibri"/>
          <w:b/>
          <w:bCs/>
        </w:rPr>
        <w:t xml:space="preserve"> d’établissements ayant cité l’item)</w:t>
      </w:r>
    </w:p>
    <w:p w:rsidR="002B1371" w:rsidRPr="002436B1" w:rsidRDefault="002B1371" w:rsidP="002B1371">
      <w:pPr>
        <w:rPr>
          <w:rFonts w:ascii="Calibri" w:hAnsi="Calibri" w:cs="Calibri"/>
        </w:rPr>
      </w:pPr>
    </w:p>
    <w:p w:rsidR="002B1371" w:rsidRPr="002436B1" w:rsidRDefault="002B1371" w:rsidP="002B1371">
      <w:pPr>
        <w:rPr>
          <w:rFonts w:ascii="Calibri" w:hAnsi="Calibri" w:cs="Calibri"/>
          <w:i/>
          <w:iCs/>
        </w:rPr>
      </w:pPr>
      <w:r w:rsidRPr="002436B1">
        <w:rPr>
          <w:rFonts w:ascii="Calibri" w:hAnsi="Calibri" w:cs="Calibri"/>
          <w:i/>
          <w:iCs/>
        </w:rPr>
        <w:t>Etablissements de 100 salariés et plus</w:t>
      </w:r>
    </w:p>
    <w:tbl>
      <w:tblPr>
        <w:tblStyle w:val="Listemoyenne1-Accent2"/>
        <w:tblW w:w="5000" w:type="pct"/>
        <w:tblLook w:val="0420" w:firstRow="1" w:lastRow="0" w:firstColumn="0" w:lastColumn="0" w:noHBand="0" w:noVBand="1"/>
      </w:tblPr>
      <w:tblGrid>
        <w:gridCol w:w="4755"/>
        <w:gridCol w:w="859"/>
        <w:gridCol w:w="859"/>
        <w:gridCol w:w="862"/>
        <w:gridCol w:w="865"/>
        <w:gridCol w:w="859"/>
        <w:gridCol w:w="859"/>
        <w:gridCol w:w="862"/>
        <w:gridCol w:w="868"/>
        <w:gridCol w:w="862"/>
        <w:gridCol w:w="862"/>
        <w:gridCol w:w="868"/>
        <w:gridCol w:w="829"/>
      </w:tblGrid>
      <w:tr w:rsidR="002E40F6" w:rsidRPr="002E40F6" w:rsidTr="001C5C8C">
        <w:trPr>
          <w:cnfStyle w:val="100000000000" w:firstRow="1" w:lastRow="0" w:firstColumn="0" w:lastColumn="0" w:oddVBand="0" w:evenVBand="0" w:oddHBand="0" w:evenHBand="0" w:firstRowFirstColumn="0" w:firstRowLastColumn="0" w:lastRowFirstColumn="0" w:lastRowLastColumn="0"/>
          <w:trHeight w:val="315"/>
        </w:trPr>
        <w:tc>
          <w:tcPr>
            <w:tcW w:w="1578" w:type="pct"/>
            <w:tcBorders>
              <w:top w:val="single" w:sz="8" w:space="0" w:color="C0504D" w:themeColor="accent2"/>
              <w:bottom w:val="nil"/>
            </w:tcBorders>
            <w:noWrap/>
          </w:tcPr>
          <w:p w:rsidR="002B1371" w:rsidRPr="002E40F6" w:rsidRDefault="002B1371" w:rsidP="00F3284E">
            <w:pPr>
              <w:ind w:left="92"/>
              <w:rPr>
                <w:rFonts w:asciiTheme="minorHAnsi" w:hAnsiTheme="minorHAnsi" w:cstheme="minorHAnsi"/>
                <w:b/>
                <w:bCs/>
                <w:sz w:val="20"/>
                <w:szCs w:val="20"/>
              </w:rPr>
            </w:pPr>
          </w:p>
        </w:tc>
        <w:tc>
          <w:tcPr>
            <w:tcW w:w="1143" w:type="pct"/>
            <w:gridSpan w:val="4"/>
            <w:tcBorders>
              <w:top w:val="single" w:sz="8" w:space="0" w:color="C0504D" w:themeColor="accent2"/>
              <w:bottom w:val="nil"/>
              <w:right w:val="single" w:sz="8" w:space="0" w:color="C0504D" w:themeColor="accent2"/>
            </w:tcBorders>
            <w:noWrap/>
          </w:tcPr>
          <w:p w:rsidR="002B1371" w:rsidRPr="002E40F6" w:rsidRDefault="002B1371" w:rsidP="00F3284E">
            <w:pPr>
              <w:jc w:val="center"/>
              <w:rPr>
                <w:rFonts w:asciiTheme="minorHAnsi" w:hAnsiTheme="minorHAnsi" w:cstheme="minorHAnsi"/>
                <w:bCs/>
                <w:sz w:val="20"/>
                <w:szCs w:val="20"/>
              </w:rPr>
            </w:pPr>
            <w:r w:rsidRPr="002E40F6">
              <w:rPr>
                <w:rFonts w:asciiTheme="minorHAnsi" w:hAnsiTheme="minorHAnsi" w:cstheme="minorHAnsi"/>
                <w:bCs/>
                <w:sz w:val="20"/>
                <w:szCs w:val="20"/>
              </w:rPr>
              <w:t>Cadres</w:t>
            </w:r>
          </w:p>
        </w:tc>
        <w:tc>
          <w:tcPr>
            <w:tcW w:w="1144" w:type="pct"/>
            <w:gridSpan w:val="4"/>
            <w:tcBorders>
              <w:top w:val="single" w:sz="8" w:space="0" w:color="C0504D" w:themeColor="accent2"/>
              <w:left w:val="single" w:sz="8" w:space="0" w:color="C0504D" w:themeColor="accent2"/>
              <w:bottom w:val="nil"/>
              <w:right w:val="single" w:sz="8" w:space="0" w:color="C0504D" w:themeColor="accent2"/>
            </w:tcBorders>
          </w:tcPr>
          <w:p w:rsidR="002B1371" w:rsidRPr="002E40F6" w:rsidRDefault="002B1371" w:rsidP="00005CC4">
            <w:pPr>
              <w:jc w:val="center"/>
              <w:rPr>
                <w:rFonts w:asciiTheme="minorHAnsi" w:hAnsiTheme="minorHAnsi" w:cstheme="minorHAnsi"/>
                <w:bCs/>
                <w:sz w:val="20"/>
                <w:szCs w:val="20"/>
              </w:rPr>
            </w:pPr>
            <w:r w:rsidRPr="002E40F6">
              <w:rPr>
                <w:rFonts w:asciiTheme="minorHAnsi" w:hAnsiTheme="minorHAnsi" w:cstheme="minorHAnsi"/>
                <w:bCs/>
                <w:sz w:val="20"/>
                <w:szCs w:val="20"/>
              </w:rPr>
              <w:t>Techniciens/Agent de maîtrise</w:t>
            </w:r>
          </w:p>
        </w:tc>
        <w:tc>
          <w:tcPr>
            <w:tcW w:w="1135" w:type="pct"/>
            <w:gridSpan w:val="4"/>
            <w:tcBorders>
              <w:top w:val="single" w:sz="8" w:space="0" w:color="C0504D" w:themeColor="accent2"/>
              <w:left w:val="single" w:sz="8" w:space="0" w:color="C0504D" w:themeColor="accent2"/>
              <w:bottom w:val="nil"/>
            </w:tcBorders>
          </w:tcPr>
          <w:p w:rsidR="002B1371" w:rsidRPr="002E40F6" w:rsidRDefault="002B1371" w:rsidP="00F3284E">
            <w:pPr>
              <w:jc w:val="center"/>
              <w:rPr>
                <w:rFonts w:asciiTheme="minorHAnsi" w:hAnsiTheme="minorHAnsi" w:cstheme="minorHAnsi"/>
                <w:bCs/>
                <w:sz w:val="20"/>
                <w:szCs w:val="20"/>
              </w:rPr>
            </w:pPr>
            <w:r w:rsidRPr="002E40F6">
              <w:rPr>
                <w:rFonts w:asciiTheme="minorHAnsi" w:hAnsiTheme="minorHAnsi" w:cstheme="minorHAnsi"/>
                <w:bCs/>
                <w:sz w:val="20"/>
                <w:szCs w:val="20"/>
              </w:rPr>
              <w:t>Opérateurs</w:t>
            </w:r>
          </w:p>
        </w:tc>
      </w:tr>
      <w:tr w:rsidR="001C5C8C" w:rsidRPr="002E40F6" w:rsidTr="001C5C8C">
        <w:trPr>
          <w:cnfStyle w:val="000000100000" w:firstRow="0" w:lastRow="0" w:firstColumn="0" w:lastColumn="0" w:oddVBand="0" w:evenVBand="0" w:oddHBand="1" w:evenHBand="0" w:firstRowFirstColumn="0" w:firstRowLastColumn="0" w:lastRowFirstColumn="0" w:lastRowLastColumn="0"/>
          <w:trHeight w:val="284"/>
        </w:trPr>
        <w:tc>
          <w:tcPr>
            <w:tcW w:w="1578" w:type="pct"/>
            <w:tcBorders>
              <w:top w:val="nil"/>
              <w:bottom w:val="single" w:sz="8" w:space="0" w:color="C0504D" w:themeColor="accent2"/>
            </w:tcBorders>
            <w:noWrap/>
          </w:tcPr>
          <w:p w:rsidR="001C5C8C" w:rsidRPr="002E40F6" w:rsidRDefault="001C5C8C" w:rsidP="00F3284E">
            <w:pPr>
              <w:ind w:left="92"/>
              <w:rPr>
                <w:rFonts w:asciiTheme="minorHAnsi" w:hAnsiTheme="minorHAnsi" w:cstheme="minorHAnsi"/>
                <w:b/>
                <w:bCs/>
                <w:sz w:val="20"/>
                <w:szCs w:val="20"/>
              </w:rPr>
            </w:pPr>
          </w:p>
        </w:tc>
        <w:tc>
          <w:tcPr>
            <w:tcW w:w="285" w:type="pct"/>
            <w:tcBorders>
              <w:top w:val="nil"/>
              <w:bottom w:val="single" w:sz="8" w:space="0" w:color="C0504D" w:themeColor="accent2"/>
            </w:tcBorders>
            <w:noWrap/>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2011</w:t>
            </w:r>
          </w:p>
        </w:tc>
        <w:tc>
          <w:tcPr>
            <w:tcW w:w="285"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2012</w:t>
            </w:r>
          </w:p>
        </w:tc>
        <w:tc>
          <w:tcPr>
            <w:tcW w:w="286"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2013</w:t>
            </w:r>
          </w:p>
        </w:tc>
        <w:tc>
          <w:tcPr>
            <w:tcW w:w="287" w:type="pct"/>
            <w:tcBorders>
              <w:top w:val="nil"/>
              <w:bottom w:val="single" w:sz="8" w:space="0" w:color="C0504D" w:themeColor="accent2"/>
              <w:right w:val="single" w:sz="8" w:space="0" w:color="C0504D" w:themeColor="accent2"/>
            </w:tcBorders>
          </w:tcPr>
          <w:p w:rsidR="001C5C8C" w:rsidRPr="002E40F6" w:rsidRDefault="001C5C8C" w:rsidP="00370045">
            <w:pPr>
              <w:jc w:val="center"/>
              <w:rPr>
                <w:rFonts w:asciiTheme="minorHAnsi" w:hAnsiTheme="minorHAnsi" w:cstheme="minorHAnsi"/>
                <w:bCs/>
                <w:sz w:val="20"/>
                <w:szCs w:val="20"/>
              </w:rPr>
            </w:pPr>
            <w:r>
              <w:rPr>
                <w:rFonts w:asciiTheme="minorHAnsi" w:hAnsiTheme="minorHAnsi" w:cstheme="minorHAnsi"/>
                <w:bCs/>
                <w:sz w:val="20"/>
                <w:szCs w:val="20"/>
              </w:rPr>
              <w:t>2014</w:t>
            </w:r>
          </w:p>
        </w:tc>
        <w:tc>
          <w:tcPr>
            <w:tcW w:w="285" w:type="pct"/>
            <w:tcBorders>
              <w:top w:val="nil"/>
              <w:left w:val="single" w:sz="8" w:space="0" w:color="C0504D" w:themeColor="accent2"/>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2011</w:t>
            </w:r>
          </w:p>
        </w:tc>
        <w:tc>
          <w:tcPr>
            <w:tcW w:w="285"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2012</w:t>
            </w:r>
          </w:p>
        </w:tc>
        <w:tc>
          <w:tcPr>
            <w:tcW w:w="286"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2013</w:t>
            </w:r>
          </w:p>
        </w:tc>
        <w:tc>
          <w:tcPr>
            <w:tcW w:w="288" w:type="pct"/>
            <w:tcBorders>
              <w:top w:val="nil"/>
              <w:bottom w:val="single" w:sz="8" w:space="0" w:color="C0504D" w:themeColor="accent2"/>
              <w:right w:val="single" w:sz="8" w:space="0" w:color="C0504D" w:themeColor="accent2"/>
            </w:tcBorders>
          </w:tcPr>
          <w:p w:rsidR="001C5C8C" w:rsidRPr="002E40F6" w:rsidRDefault="001C5C8C" w:rsidP="00370045">
            <w:pPr>
              <w:jc w:val="center"/>
              <w:rPr>
                <w:rFonts w:asciiTheme="minorHAnsi" w:hAnsiTheme="minorHAnsi" w:cstheme="minorHAnsi"/>
                <w:bCs/>
                <w:sz w:val="20"/>
                <w:szCs w:val="20"/>
              </w:rPr>
            </w:pPr>
            <w:r>
              <w:rPr>
                <w:rFonts w:asciiTheme="minorHAnsi" w:hAnsiTheme="minorHAnsi" w:cstheme="minorHAnsi"/>
                <w:bCs/>
                <w:sz w:val="20"/>
                <w:szCs w:val="20"/>
              </w:rPr>
              <w:t>2014</w:t>
            </w:r>
          </w:p>
        </w:tc>
        <w:tc>
          <w:tcPr>
            <w:tcW w:w="286" w:type="pct"/>
            <w:tcBorders>
              <w:top w:val="nil"/>
              <w:left w:val="single" w:sz="8" w:space="0" w:color="C0504D" w:themeColor="accent2"/>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2011</w:t>
            </w:r>
          </w:p>
        </w:tc>
        <w:tc>
          <w:tcPr>
            <w:tcW w:w="286"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2012</w:t>
            </w:r>
          </w:p>
        </w:tc>
        <w:tc>
          <w:tcPr>
            <w:tcW w:w="288"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2013</w:t>
            </w:r>
          </w:p>
        </w:tc>
        <w:tc>
          <w:tcPr>
            <w:tcW w:w="275" w:type="pct"/>
            <w:tcBorders>
              <w:top w:val="nil"/>
              <w:bottom w:val="single" w:sz="8" w:space="0" w:color="C0504D" w:themeColor="accent2"/>
            </w:tcBorders>
          </w:tcPr>
          <w:p w:rsidR="001C5C8C" w:rsidRPr="002E40F6" w:rsidRDefault="001C5C8C" w:rsidP="00370045">
            <w:pPr>
              <w:jc w:val="center"/>
              <w:rPr>
                <w:rFonts w:asciiTheme="minorHAnsi" w:hAnsiTheme="minorHAnsi" w:cstheme="minorHAnsi"/>
                <w:bCs/>
                <w:sz w:val="20"/>
                <w:szCs w:val="20"/>
              </w:rPr>
            </w:pPr>
            <w:r>
              <w:rPr>
                <w:rFonts w:asciiTheme="minorHAnsi" w:hAnsiTheme="minorHAnsi" w:cstheme="minorHAnsi"/>
                <w:bCs/>
                <w:sz w:val="20"/>
                <w:szCs w:val="20"/>
              </w:rPr>
              <w:t>2014</w:t>
            </w:r>
          </w:p>
        </w:tc>
      </w:tr>
      <w:tr w:rsidR="001D76C1" w:rsidRPr="002E40F6" w:rsidTr="00B41DC8">
        <w:trPr>
          <w:trHeight w:val="284"/>
        </w:trPr>
        <w:tc>
          <w:tcPr>
            <w:tcW w:w="1578" w:type="pct"/>
            <w:tcBorders>
              <w:top w:val="single" w:sz="8" w:space="0" w:color="C0504D" w:themeColor="accent2"/>
            </w:tcBorders>
            <w:noWrap/>
          </w:tcPr>
          <w:p w:rsidR="001D76C1" w:rsidRPr="00370045" w:rsidRDefault="001D76C1" w:rsidP="00F3284E">
            <w:pPr>
              <w:ind w:left="92"/>
              <w:rPr>
                <w:rFonts w:asciiTheme="minorHAnsi" w:hAnsiTheme="minorHAnsi" w:cstheme="minorHAnsi"/>
                <w:bCs/>
                <w:sz w:val="20"/>
                <w:szCs w:val="20"/>
              </w:rPr>
            </w:pPr>
            <w:r w:rsidRPr="00370045">
              <w:rPr>
                <w:rFonts w:asciiTheme="minorHAnsi" w:hAnsiTheme="minorHAnsi" w:cstheme="minorHAnsi"/>
                <w:bCs/>
                <w:sz w:val="20"/>
                <w:szCs w:val="20"/>
              </w:rPr>
              <w:t xml:space="preserve">Surcroît d'activité </w:t>
            </w:r>
          </w:p>
        </w:tc>
        <w:tc>
          <w:tcPr>
            <w:tcW w:w="285" w:type="pct"/>
            <w:tcBorders>
              <w:top w:val="single" w:sz="8" w:space="0" w:color="C0504D" w:themeColor="accent2"/>
            </w:tcBorders>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36%</w:t>
            </w:r>
          </w:p>
        </w:tc>
        <w:tc>
          <w:tcPr>
            <w:tcW w:w="285"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16%</w:t>
            </w:r>
          </w:p>
        </w:tc>
        <w:tc>
          <w:tcPr>
            <w:tcW w:w="286"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33%</w:t>
            </w:r>
          </w:p>
        </w:tc>
        <w:tc>
          <w:tcPr>
            <w:tcW w:w="287" w:type="pct"/>
            <w:tcBorders>
              <w:top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35%</w:t>
            </w:r>
          </w:p>
        </w:tc>
        <w:tc>
          <w:tcPr>
            <w:tcW w:w="285" w:type="pct"/>
            <w:tcBorders>
              <w:top w:val="single" w:sz="8" w:space="0" w:color="C0504D" w:themeColor="accent2"/>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42%</w:t>
            </w:r>
          </w:p>
        </w:tc>
        <w:tc>
          <w:tcPr>
            <w:tcW w:w="285"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17%</w:t>
            </w:r>
          </w:p>
        </w:tc>
        <w:tc>
          <w:tcPr>
            <w:tcW w:w="286"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37%</w:t>
            </w:r>
          </w:p>
        </w:tc>
        <w:tc>
          <w:tcPr>
            <w:tcW w:w="288" w:type="pct"/>
            <w:tcBorders>
              <w:top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37%</w:t>
            </w:r>
          </w:p>
        </w:tc>
        <w:tc>
          <w:tcPr>
            <w:tcW w:w="286" w:type="pct"/>
            <w:tcBorders>
              <w:top w:val="single" w:sz="8" w:space="0" w:color="C0504D" w:themeColor="accent2"/>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50%</w:t>
            </w:r>
          </w:p>
        </w:tc>
        <w:tc>
          <w:tcPr>
            <w:tcW w:w="286"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36%</w:t>
            </w:r>
          </w:p>
        </w:tc>
        <w:tc>
          <w:tcPr>
            <w:tcW w:w="288"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47%</w:t>
            </w:r>
          </w:p>
        </w:tc>
        <w:tc>
          <w:tcPr>
            <w:tcW w:w="275" w:type="pct"/>
            <w:tcBorders>
              <w:top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45%</w:t>
            </w:r>
          </w:p>
        </w:tc>
      </w:tr>
      <w:tr w:rsidR="001D76C1" w:rsidRPr="002E40F6" w:rsidTr="00B41DC8">
        <w:trPr>
          <w:cnfStyle w:val="000000100000" w:firstRow="0" w:lastRow="0" w:firstColumn="0" w:lastColumn="0" w:oddVBand="0" w:evenVBand="0" w:oddHBand="1" w:evenHBand="0" w:firstRowFirstColumn="0" w:firstRowLastColumn="0" w:lastRowFirstColumn="0" w:lastRowLastColumn="0"/>
          <w:trHeight w:val="284"/>
        </w:trPr>
        <w:tc>
          <w:tcPr>
            <w:tcW w:w="1578" w:type="pct"/>
            <w:noWrap/>
          </w:tcPr>
          <w:p w:rsidR="001D76C1" w:rsidRPr="00370045" w:rsidRDefault="001D76C1" w:rsidP="00F3284E">
            <w:pPr>
              <w:ind w:left="92"/>
              <w:rPr>
                <w:rFonts w:asciiTheme="minorHAnsi" w:hAnsiTheme="minorHAnsi" w:cstheme="minorHAnsi"/>
                <w:bCs/>
                <w:sz w:val="20"/>
                <w:szCs w:val="20"/>
              </w:rPr>
            </w:pPr>
            <w:r>
              <w:rPr>
                <w:rFonts w:asciiTheme="minorHAnsi" w:hAnsiTheme="minorHAnsi" w:cstheme="minorHAnsi"/>
                <w:bCs/>
                <w:sz w:val="20"/>
                <w:szCs w:val="20"/>
              </w:rPr>
              <w:t>Remplacement</w:t>
            </w:r>
            <w:r w:rsidRPr="00370045">
              <w:rPr>
                <w:rFonts w:asciiTheme="minorHAnsi" w:hAnsiTheme="minorHAnsi" w:cstheme="minorHAnsi"/>
                <w:bCs/>
                <w:sz w:val="20"/>
                <w:szCs w:val="20"/>
              </w:rPr>
              <w:t xml:space="preserve"> de départs en retraite</w:t>
            </w:r>
          </w:p>
        </w:tc>
        <w:tc>
          <w:tcPr>
            <w:tcW w:w="285" w:type="pct"/>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18%</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17%</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12%</w:t>
            </w:r>
          </w:p>
        </w:tc>
        <w:tc>
          <w:tcPr>
            <w:tcW w:w="287"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2%</w:t>
            </w:r>
          </w:p>
        </w:tc>
        <w:tc>
          <w:tcPr>
            <w:tcW w:w="285"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17%</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17%</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15%</w:t>
            </w:r>
          </w:p>
        </w:tc>
        <w:tc>
          <w:tcPr>
            <w:tcW w:w="288"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14%</w:t>
            </w:r>
          </w:p>
        </w:tc>
        <w:tc>
          <w:tcPr>
            <w:tcW w:w="286"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15%</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18%</w:t>
            </w:r>
          </w:p>
        </w:tc>
        <w:tc>
          <w:tcPr>
            <w:tcW w:w="288"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21%</w:t>
            </w:r>
          </w:p>
        </w:tc>
        <w:tc>
          <w:tcPr>
            <w:tcW w:w="275" w:type="pct"/>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20%</w:t>
            </w:r>
          </w:p>
        </w:tc>
      </w:tr>
      <w:tr w:rsidR="001D76C1" w:rsidRPr="002E40F6" w:rsidTr="00B41DC8">
        <w:trPr>
          <w:trHeight w:val="284"/>
        </w:trPr>
        <w:tc>
          <w:tcPr>
            <w:tcW w:w="1578" w:type="pct"/>
            <w:noWrap/>
          </w:tcPr>
          <w:p w:rsidR="001D76C1" w:rsidRPr="00370045" w:rsidRDefault="001D76C1" w:rsidP="00F3284E">
            <w:pPr>
              <w:ind w:left="92"/>
              <w:rPr>
                <w:rFonts w:asciiTheme="minorHAnsi" w:hAnsiTheme="minorHAnsi" w:cstheme="minorHAnsi"/>
                <w:bCs/>
                <w:sz w:val="20"/>
                <w:szCs w:val="20"/>
              </w:rPr>
            </w:pPr>
            <w:r w:rsidRPr="00370045">
              <w:rPr>
                <w:rFonts w:asciiTheme="minorHAnsi" w:hAnsiTheme="minorHAnsi" w:cstheme="minorHAnsi"/>
                <w:bCs/>
                <w:sz w:val="20"/>
                <w:szCs w:val="20"/>
              </w:rPr>
              <w:t>Remplacement d’autres départs</w:t>
            </w:r>
          </w:p>
        </w:tc>
        <w:tc>
          <w:tcPr>
            <w:tcW w:w="285" w:type="pct"/>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48%</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41%</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27%</w:t>
            </w:r>
          </w:p>
        </w:tc>
        <w:tc>
          <w:tcPr>
            <w:tcW w:w="287"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22%</w:t>
            </w:r>
          </w:p>
        </w:tc>
        <w:tc>
          <w:tcPr>
            <w:tcW w:w="285"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38%</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38%</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35%</w:t>
            </w:r>
          </w:p>
        </w:tc>
        <w:tc>
          <w:tcPr>
            <w:tcW w:w="288"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29%</w:t>
            </w:r>
          </w:p>
        </w:tc>
        <w:tc>
          <w:tcPr>
            <w:tcW w:w="286"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48%</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37%</w:t>
            </w:r>
          </w:p>
        </w:tc>
        <w:tc>
          <w:tcPr>
            <w:tcW w:w="288"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32%</w:t>
            </w:r>
          </w:p>
        </w:tc>
        <w:tc>
          <w:tcPr>
            <w:tcW w:w="275" w:type="pct"/>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42%</w:t>
            </w:r>
          </w:p>
        </w:tc>
      </w:tr>
      <w:tr w:rsidR="001D76C1" w:rsidRPr="002E40F6" w:rsidTr="00B41DC8">
        <w:trPr>
          <w:cnfStyle w:val="000000100000" w:firstRow="0" w:lastRow="0" w:firstColumn="0" w:lastColumn="0" w:oddVBand="0" w:evenVBand="0" w:oddHBand="1" w:evenHBand="0" w:firstRowFirstColumn="0" w:firstRowLastColumn="0" w:lastRowFirstColumn="0" w:lastRowLastColumn="0"/>
          <w:trHeight w:val="284"/>
        </w:trPr>
        <w:tc>
          <w:tcPr>
            <w:tcW w:w="1578" w:type="pct"/>
            <w:noWrap/>
          </w:tcPr>
          <w:p w:rsidR="001D76C1" w:rsidRPr="00370045" w:rsidRDefault="001D76C1" w:rsidP="00F3284E">
            <w:pPr>
              <w:ind w:left="92"/>
              <w:rPr>
                <w:rFonts w:asciiTheme="minorHAnsi" w:hAnsiTheme="minorHAnsi" w:cstheme="minorHAnsi"/>
                <w:bCs/>
                <w:sz w:val="20"/>
                <w:szCs w:val="20"/>
              </w:rPr>
            </w:pPr>
            <w:r w:rsidRPr="00370045">
              <w:rPr>
                <w:rFonts w:asciiTheme="minorHAnsi" w:hAnsiTheme="minorHAnsi" w:cstheme="minorHAnsi"/>
                <w:bCs/>
                <w:sz w:val="20"/>
                <w:szCs w:val="20"/>
              </w:rPr>
              <w:t xml:space="preserve">Réorganisation de la logistique </w:t>
            </w:r>
          </w:p>
        </w:tc>
        <w:tc>
          <w:tcPr>
            <w:tcW w:w="285" w:type="pct"/>
            <w:tcBorders>
              <w:bottom w:val="single" w:sz="8" w:space="0" w:color="C0504D" w:themeColor="accent2"/>
            </w:tcBorders>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32%</w:t>
            </w:r>
          </w:p>
        </w:tc>
        <w:tc>
          <w:tcPr>
            <w:tcW w:w="285"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39%</w:t>
            </w:r>
          </w:p>
        </w:tc>
        <w:tc>
          <w:tcPr>
            <w:tcW w:w="286"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35%</w:t>
            </w:r>
          </w:p>
        </w:tc>
        <w:tc>
          <w:tcPr>
            <w:tcW w:w="287" w:type="pct"/>
            <w:tcBorders>
              <w:bottom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51%</w:t>
            </w:r>
          </w:p>
        </w:tc>
        <w:tc>
          <w:tcPr>
            <w:tcW w:w="285" w:type="pct"/>
            <w:tcBorders>
              <w:left w:val="single" w:sz="8" w:space="0" w:color="C0504D" w:themeColor="accent2"/>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27%</w:t>
            </w:r>
          </w:p>
        </w:tc>
        <w:tc>
          <w:tcPr>
            <w:tcW w:w="285"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44%</w:t>
            </w:r>
          </w:p>
        </w:tc>
        <w:tc>
          <w:tcPr>
            <w:tcW w:w="286"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31%</w:t>
            </w:r>
          </w:p>
        </w:tc>
        <w:tc>
          <w:tcPr>
            <w:tcW w:w="288" w:type="pct"/>
            <w:tcBorders>
              <w:bottom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36%</w:t>
            </w:r>
          </w:p>
        </w:tc>
        <w:tc>
          <w:tcPr>
            <w:tcW w:w="286"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14%</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33%</w:t>
            </w:r>
          </w:p>
        </w:tc>
        <w:tc>
          <w:tcPr>
            <w:tcW w:w="288"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20%</w:t>
            </w:r>
          </w:p>
        </w:tc>
        <w:tc>
          <w:tcPr>
            <w:tcW w:w="275" w:type="pct"/>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18%</w:t>
            </w:r>
          </w:p>
        </w:tc>
      </w:tr>
    </w:tbl>
    <w:p w:rsidR="002B1371" w:rsidRDefault="002B1371" w:rsidP="002B1371">
      <w:pPr>
        <w:rPr>
          <w:rFonts w:ascii="Calibri" w:hAnsi="Calibri" w:cs="Calibri"/>
        </w:rPr>
      </w:pPr>
    </w:p>
    <w:p w:rsidR="00064D05" w:rsidRPr="002436B1" w:rsidRDefault="00064D05" w:rsidP="002B1371">
      <w:pPr>
        <w:rPr>
          <w:rFonts w:ascii="Calibri" w:hAnsi="Calibri" w:cs="Calibri"/>
        </w:rPr>
      </w:pPr>
    </w:p>
    <w:p w:rsidR="002B1371" w:rsidRDefault="002B1371" w:rsidP="002B1371">
      <w:pPr>
        <w:rPr>
          <w:rFonts w:ascii="Calibri" w:hAnsi="Calibri" w:cs="Calibri"/>
          <w:i/>
          <w:iCs/>
        </w:rPr>
      </w:pPr>
      <w:r w:rsidRPr="002436B1">
        <w:rPr>
          <w:rFonts w:ascii="Calibri" w:hAnsi="Calibri" w:cs="Calibri"/>
          <w:i/>
          <w:iCs/>
        </w:rPr>
        <w:t>Etablissements de 50 à 99 salariés</w:t>
      </w:r>
    </w:p>
    <w:tbl>
      <w:tblPr>
        <w:tblStyle w:val="Listemoyenne1-Accent2"/>
        <w:tblW w:w="5000" w:type="pct"/>
        <w:tblLook w:val="0420" w:firstRow="1" w:lastRow="0" w:firstColumn="0" w:lastColumn="0" w:noHBand="0" w:noVBand="1"/>
      </w:tblPr>
      <w:tblGrid>
        <w:gridCol w:w="4755"/>
        <w:gridCol w:w="859"/>
        <w:gridCol w:w="859"/>
        <w:gridCol w:w="862"/>
        <w:gridCol w:w="865"/>
        <w:gridCol w:w="859"/>
        <w:gridCol w:w="859"/>
        <w:gridCol w:w="862"/>
        <w:gridCol w:w="868"/>
        <w:gridCol w:w="862"/>
        <w:gridCol w:w="862"/>
        <w:gridCol w:w="868"/>
        <w:gridCol w:w="829"/>
      </w:tblGrid>
      <w:tr w:rsidR="00370045" w:rsidRPr="002E40F6" w:rsidTr="00005CC4">
        <w:trPr>
          <w:cnfStyle w:val="100000000000" w:firstRow="1" w:lastRow="0" w:firstColumn="0" w:lastColumn="0" w:oddVBand="0" w:evenVBand="0" w:oddHBand="0" w:evenHBand="0" w:firstRowFirstColumn="0" w:firstRowLastColumn="0" w:lastRowFirstColumn="0" w:lastRowLastColumn="0"/>
          <w:trHeight w:val="325"/>
        </w:trPr>
        <w:tc>
          <w:tcPr>
            <w:tcW w:w="1578" w:type="pct"/>
            <w:tcBorders>
              <w:top w:val="single" w:sz="8" w:space="0" w:color="C0504D" w:themeColor="accent2"/>
              <w:bottom w:val="nil"/>
            </w:tcBorders>
            <w:noWrap/>
          </w:tcPr>
          <w:p w:rsidR="00370045" w:rsidRPr="002E40F6" w:rsidRDefault="00370045" w:rsidP="00AF11F6">
            <w:pPr>
              <w:ind w:left="92"/>
              <w:rPr>
                <w:rFonts w:asciiTheme="minorHAnsi" w:hAnsiTheme="minorHAnsi" w:cstheme="minorHAnsi"/>
                <w:b/>
                <w:bCs/>
                <w:sz w:val="20"/>
                <w:szCs w:val="20"/>
              </w:rPr>
            </w:pPr>
          </w:p>
        </w:tc>
        <w:tc>
          <w:tcPr>
            <w:tcW w:w="1143" w:type="pct"/>
            <w:gridSpan w:val="4"/>
            <w:tcBorders>
              <w:top w:val="single" w:sz="8" w:space="0" w:color="C0504D" w:themeColor="accent2"/>
              <w:bottom w:val="nil"/>
              <w:right w:val="single" w:sz="8" w:space="0" w:color="C0504D" w:themeColor="accent2"/>
            </w:tcBorders>
            <w:noWrap/>
          </w:tcPr>
          <w:p w:rsidR="00370045" w:rsidRPr="002E40F6" w:rsidRDefault="00370045" w:rsidP="00AF11F6">
            <w:pPr>
              <w:jc w:val="center"/>
              <w:rPr>
                <w:rFonts w:asciiTheme="minorHAnsi" w:hAnsiTheme="minorHAnsi" w:cstheme="minorHAnsi"/>
                <w:bCs/>
                <w:sz w:val="20"/>
                <w:szCs w:val="20"/>
              </w:rPr>
            </w:pPr>
            <w:r w:rsidRPr="002E40F6">
              <w:rPr>
                <w:rFonts w:asciiTheme="minorHAnsi" w:hAnsiTheme="minorHAnsi" w:cstheme="minorHAnsi"/>
                <w:bCs/>
                <w:sz w:val="20"/>
                <w:szCs w:val="20"/>
              </w:rPr>
              <w:t>Cadres</w:t>
            </w:r>
          </w:p>
        </w:tc>
        <w:tc>
          <w:tcPr>
            <w:tcW w:w="1144" w:type="pct"/>
            <w:gridSpan w:val="4"/>
            <w:tcBorders>
              <w:top w:val="single" w:sz="8" w:space="0" w:color="C0504D" w:themeColor="accent2"/>
              <w:left w:val="single" w:sz="8" w:space="0" w:color="C0504D" w:themeColor="accent2"/>
              <w:bottom w:val="nil"/>
              <w:right w:val="single" w:sz="8" w:space="0" w:color="C0504D" w:themeColor="accent2"/>
            </w:tcBorders>
          </w:tcPr>
          <w:p w:rsidR="00370045" w:rsidRPr="002E40F6" w:rsidRDefault="00370045" w:rsidP="00005CC4">
            <w:pPr>
              <w:jc w:val="center"/>
              <w:rPr>
                <w:rFonts w:asciiTheme="minorHAnsi" w:hAnsiTheme="minorHAnsi" w:cstheme="minorHAnsi"/>
                <w:bCs/>
                <w:sz w:val="20"/>
                <w:szCs w:val="20"/>
              </w:rPr>
            </w:pPr>
            <w:r w:rsidRPr="002E40F6">
              <w:rPr>
                <w:rFonts w:asciiTheme="minorHAnsi" w:hAnsiTheme="minorHAnsi" w:cstheme="minorHAnsi"/>
                <w:bCs/>
                <w:sz w:val="20"/>
                <w:szCs w:val="20"/>
              </w:rPr>
              <w:t>Techniciens/Agent de maîtrise</w:t>
            </w:r>
          </w:p>
        </w:tc>
        <w:tc>
          <w:tcPr>
            <w:tcW w:w="1135" w:type="pct"/>
            <w:gridSpan w:val="4"/>
            <w:tcBorders>
              <w:top w:val="single" w:sz="8" w:space="0" w:color="C0504D" w:themeColor="accent2"/>
              <w:left w:val="single" w:sz="8" w:space="0" w:color="C0504D" w:themeColor="accent2"/>
              <w:bottom w:val="nil"/>
            </w:tcBorders>
          </w:tcPr>
          <w:p w:rsidR="00370045" w:rsidRPr="002E40F6" w:rsidRDefault="00370045" w:rsidP="00AF11F6">
            <w:pPr>
              <w:jc w:val="center"/>
              <w:rPr>
                <w:rFonts w:asciiTheme="minorHAnsi" w:hAnsiTheme="minorHAnsi" w:cstheme="minorHAnsi"/>
                <w:bCs/>
                <w:sz w:val="20"/>
                <w:szCs w:val="20"/>
              </w:rPr>
            </w:pPr>
            <w:r w:rsidRPr="002E40F6">
              <w:rPr>
                <w:rFonts w:asciiTheme="minorHAnsi" w:hAnsiTheme="minorHAnsi" w:cstheme="minorHAnsi"/>
                <w:bCs/>
                <w:sz w:val="20"/>
                <w:szCs w:val="20"/>
              </w:rPr>
              <w:t>Opérateurs</w:t>
            </w:r>
          </w:p>
        </w:tc>
      </w:tr>
      <w:tr w:rsidR="001C5C8C" w:rsidRPr="002E40F6" w:rsidTr="00005CC4">
        <w:trPr>
          <w:cnfStyle w:val="000000100000" w:firstRow="0" w:lastRow="0" w:firstColumn="0" w:lastColumn="0" w:oddVBand="0" w:evenVBand="0" w:oddHBand="1" w:evenHBand="0" w:firstRowFirstColumn="0" w:firstRowLastColumn="0" w:lastRowFirstColumn="0" w:lastRowLastColumn="0"/>
          <w:trHeight w:val="284"/>
        </w:trPr>
        <w:tc>
          <w:tcPr>
            <w:tcW w:w="1578" w:type="pct"/>
            <w:tcBorders>
              <w:top w:val="nil"/>
              <w:bottom w:val="single" w:sz="8" w:space="0" w:color="C0504D" w:themeColor="accent2"/>
            </w:tcBorders>
            <w:noWrap/>
          </w:tcPr>
          <w:p w:rsidR="001C5C8C" w:rsidRPr="002E40F6" w:rsidRDefault="001C5C8C" w:rsidP="00AF11F6">
            <w:pPr>
              <w:ind w:left="92"/>
              <w:rPr>
                <w:rFonts w:asciiTheme="minorHAnsi" w:hAnsiTheme="minorHAnsi" w:cstheme="minorHAnsi"/>
                <w:b/>
                <w:bCs/>
                <w:sz w:val="20"/>
                <w:szCs w:val="20"/>
              </w:rPr>
            </w:pPr>
          </w:p>
        </w:tc>
        <w:tc>
          <w:tcPr>
            <w:tcW w:w="285" w:type="pct"/>
            <w:tcBorders>
              <w:top w:val="nil"/>
              <w:bottom w:val="single" w:sz="8" w:space="0" w:color="C0504D" w:themeColor="accent2"/>
            </w:tcBorders>
            <w:noWrap/>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2011</w:t>
            </w:r>
          </w:p>
        </w:tc>
        <w:tc>
          <w:tcPr>
            <w:tcW w:w="285"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2012</w:t>
            </w:r>
          </w:p>
        </w:tc>
        <w:tc>
          <w:tcPr>
            <w:tcW w:w="286"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2013</w:t>
            </w:r>
          </w:p>
        </w:tc>
        <w:tc>
          <w:tcPr>
            <w:tcW w:w="287" w:type="pct"/>
            <w:tcBorders>
              <w:top w:val="nil"/>
              <w:bottom w:val="single" w:sz="8" w:space="0" w:color="C0504D" w:themeColor="accent2"/>
              <w:right w:val="single" w:sz="8" w:space="0" w:color="C0504D" w:themeColor="accent2"/>
            </w:tcBorders>
          </w:tcPr>
          <w:p w:rsidR="001C5C8C" w:rsidRPr="002E40F6" w:rsidRDefault="001C5C8C" w:rsidP="00AF11F6">
            <w:pPr>
              <w:jc w:val="center"/>
              <w:rPr>
                <w:rFonts w:asciiTheme="minorHAnsi" w:hAnsiTheme="minorHAnsi" w:cstheme="minorHAnsi"/>
                <w:bCs/>
                <w:sz w:val="20"/>
                <w:szCs w:val="20"/>
              </w:rPr>
            </w:pPr>
            <w:r>
              <w:rPr>
                <w:rFonts w:asciiTheme="minorHAnsi" w:hAnsiTheme="minorHAnsi" w:cstheme="minorHAnsi"/>
                <w:bCs/>
                <w:sz w:val="20"/>
                <w:szCs w:val="20"/>
              </w:rPr>
              <w:t>2014</w:t>
            </w:r>
          </w:p>
        </w:tc>
        <w:tc>
          <w:tcPr>
            <w:tcW w:w="285" w:type="pct"/>
            <w:tcBorders>
              <w:top w:val="nil"/>
              <w:left w:val="single" w:sz="8" w:space="0" w:color="C0504D" w:themeColor="accent2"/>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2011</w:t>
            </w:r>
          </w:p>
        </w:tc>
        <w:tc>
          <w:tcPr>
            <w:tcW w:w="285"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2012</w:t>
            </w:r>
          </w:p>
        </w:tc>
        <w:tc>
          <w:tcPr>
            <w:tcW w:w="286"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2013</w:t>
            </w:r>
          </w:p>
        </w:tc>
        <w:tc>
          <w:tcPr>
            <w:tcW w:w="288" w:type="pct"/>
            <w:tcBorders>
              <w:top w:val="nil"/>
              <w:bottom w:val="single" w:sz="8" w:space="0" w:color="C0504D" w:themeColor="accent2"/>
              <w:right w:val="single" w:sz="8" w:space="0" w:color="C0504D" w:themeColor="accent2"/>
            </w:tcBorders>
          </w:tcPr>
          <w:p w:rsidR="001C5C8C" w:rsidRPr="002E40F6" w:rsidRDefault="001C5C8C" w:rsidP="00AF11F6">
            <w:pPr>
              <w:jc w:val="center"/>
              <w:rPr>
                <w:rFonts w:asciiTheme="minorHAnsi" w:hAnsiTheme="minorHAnsi" w:cstheme="minorHAnsi"/>
                <w:bCs/>
                <w:sz w:val="20"/>
                <w:szCs w:val="20"/>
              </w:rPr>
            </w:pPr>
            <w:r>
              <w:rPr>
                <w:rFonts w:asciiTheme="minorHAnsi" w:hAnsiTheme="minorHAnsi" w:cstheme="minorHAnsi"/>
                <w:bCs/>
                <w:sz w:val="20"/>
                <w:szCs w:val="20"/>
              </w:rPr>
              <w:t>2014</w:t>
            </w:r>
          </w:p>
        </w:tc>
        <w:tc>
          <w:tcPr>
            <w:tcW w:w="286" w:type="pct"/>
            <w:tcBorders>
              <w:top w:val="nil"/>
              <w:left w:val="single" w:sz="8" w:space="0" w:color="C0504D" w:themeColor="accent2"/>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2011</w:t>
            </w:r>
          </w:p>
        </w:tc>
        <w:tc>
          <w:tcPr>
            <w:tcW w:w="286"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2012</w:t>
            </w:r>
          </w:p>
        </w:tc>
        <w:tc>
          <w:tcPr>
            <w:tcW w:w="288" w:type="pct"/>
            <w:tcBorders>
              <w:top w:val="nil"/>
              <w:bottom w:val="single" w:sz="8" w:space="0" w:color="C0504D" w:themeColor="accent2"/>
            </w:tcBorders>
          </w:tcPr>
          <w:p w:rsidR="001C5C8C" w:rsidRPr="002E40F6" w:rsidRDefault="001C5C8C" w:rsidP="00CF7424">
            <w:pPr>
              <w:jc w:val="center"/>
              <w:rPr>
                <w:rFonts w:asciiTheme="minorHAnsi" w:hAnsiTheme="minorHAnsi" w:cstheme="minorHAnsi"/>
                <w:bCs/>
                <w:sz w:val="20"/>
                <w:szCs w:val="20"/>
              </w:rPr>
            </w:pPr>
            <w:r w:rsidRPr="002E40F6">
              <w:rPr>
                <w:rFonts w:asciiTheme="minorHAnsi" w:hAnsiTheme="minorHAnsi" w:cstheme="minorHAnsi"/>
                <w:bCs/>
                <w:sz w:val="20"/>
                <w:szCs w:val="20"/>
              </w:rPr>
              <w:t>2013</w:t>
            </w:r>
          </w:p>
        </w:tc>
        <w:tc>
          <w:tcPr>
            <w:tcW w:w="275" w:type="pct"/>
            <w:tcBorders>
              <w:top w:val="nil"/>
              <w:bottom w:val="single" w:sz="8" w:space="0" w:color="C0504D" w:themeColor="accent2"/>
            </w:tcBorders>
          </w:tcPr>
          <w:p w:rsidR="001C5C8C" w:rsidRPr="002E40F6" w:rsidRDefault="001C5C8C" w:rsidP="00AF11F6">
            <w:pPr>
              <w:jc w:val="center"/>
              <w:rPr>
                <w:rFonts w:asciiTheme="minorHAnsi" w:hAnsiTheme="minorHAnsi" w:cstheme="minorHAnsi"/>
                <w:bCs/>
                <w:sz w:val="20"/>
                <w:szCs w:val="20"/>
              </w:rPr>
            </w:pPr>
            <w:r>
              <w:rPr>
                <w:rFonts w:asciiTheme="minorHAnsi" w:hAnsiTheme="minorHAnsi" w:cstheme="minorHAnsi"/>
                <w:bCs/>
                <w:sz w:val="20"/>
                <w:szCs w:val="20"/>
              </w:rPr>
              <w:t>2014</w:t>
            </w:r>
          </w:p>
        </w:tc>
      </w:tr>
      <w:tr w:rsidR="001D76C1" w:rsidRPr="002E40F6" w:rsidTr="00B41DC8">
        <w:trPr>
          <w:trHeight w:val="284"/>
        </w:trPr>
        <w:tc>
          <w:tcPr>
            <w:tcW w:w="1578" w:type="pct"/>
            <w:tcBorders>
              <w:top w:val="single" w:sz="8" w:space="0" w:color="C0504D" w:themeColor="accent2"/>
            </w:tcBorders>
            <w:noWrap/>
          </w:tcPr>
          <w:p w:rsidR="001D76C1" w:rsidRPr="00370045" w:rsidRDefault="001D76C1" w:rsidP="00AF11F6">
            <w:pPr>
              <w:ind w:left="92"/>
              <w:rPr>
                <w:rFonts w:asciiTheme="minorHAnsi" w:hAnsiTheme="minorHAnsi" w:cstheme="minorHAnsi"/>
                <w:bCs/>
                <w:sz w:val="20"/>
                <w:szCs w:val="20"/>
              </w:rPr>
            </w:pPr>
            <w:r w:rsidRPr="00370045">
              <w:rPr>
                <w:rFonts w:asciiTheme="minorHAnsi" w:hAnsiTheme="minorHAnsi" w:cstheme="minorHAnsi"/>
                <w:bCs/>
                <w:sz w:val="20"/>
                <w:szCs w:val="20"/>
              </w:rPr>
              <w:t xml:space="preserve">Surcroît d'activité </w:t>
            </w:r>
          </w:p>
        </w:tc>
        <w:tc>
          <w:tcPr>
            <w:tcW w:w="285" w:type="pct"/>
            <w:tcBorders>
              <w:top w:val="single" w:sz="8" w:space="0" w:color="C0504D" w:themeColor="accent2"/>
            </w:tcBorders>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11%</w:t>
            </w:r>
          </w:p>
        </w:tc>
        <w:tc>
          <w:tcPr>
            <w:tcW w:w="285"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0%</w:t>
            </w:r>
          </w:p>
        </w:tc>
        <w:tc>
          <w:tcPr>
            <w:tcW w:w="286"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36%</w:t>
            </w:r>
          </w:p>
        </w:tc>
        <w:tc>
          <w:tcPr>
            <w:tcW w:w="287" w:type="pct"/>
            <w:tcBorders>
              <w:top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5%</w:t>
            </w:r>
          </w:p>
        </w:tc>
        <w:tc>
          <w:tcPr>
            <w:tcW w:w="285" w:type="pct"/>
            <w:tcBorders>
              <w:top w:val="single" w:sz="8" w:space="0" w:color="C0504D" w:themeColor="accent2"/>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67%</w:t>
            </w:r>
          </w:p>
        </w:tc>
        <w:tc>
          <w:tcPr>
            <w:tcW w:w="285"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39%</w:t>
            </w:r>
          </w:p>
        </w:tc>
        <w:tc>
          <w:tcPr>
            <w:tcW w:w="286"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88%</w:t>
            </w:r>
          </w:p>
        </w:tc>
        <w:tc>
          <w:tcPr>
            <w:tcW w:w="288" w:type="pct"/>
            <w:tcBorders>
              <w:top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33%</w:t>
            </w:r>
          </w:p>
        </w:tc>
        <w:tc>
          <w:tcPr>
            <w:tcW w:w="286" w:type="pct"/>
            <w:tcBorders>
              <w:top w:val="single" w:sz="8" w:space="0" w:color="C0504D" w:themeColor="accent2"/>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59%</w:t>
            </w:r>
          </w:p>
        </w:tc>
        <w:tc>
          <w:tcPr>
            <w:tcW w:w="286"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47%</w:t>
            </w:r>
          </w:p>
        </w:tc>
        <w:tc>
          <w:tcPr>
            <w:tcW w:w="288" w:type="pct"/>
            <w:tcBorders>
              <w:top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65%</w:t>
            </w:r>
          </w:p>
        </w:tc>
        <w:tc>
          <w:tcPr>
            <w:tcW w:w="275" w:type="pct"/>
            <w:tcBorders>
              <w:top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52%</w:t>
            </w:r>
          </w:p>
        </w:tc>
      </w:tr>
      <w:tr w:rsidR="001D76C1" w:rsidRPr="002E40F6" w:rsidTr="00B41DC8">
        <w:trPr>
          <w:cnfStyle w:val="000000100000" w:firstRow="0" w:lastRow="0" w:firstColumn="0" w:lastColumn="0" w:oddVBand="0" w:evenVBand="0" w:oddHBand="1" w:evenHBand="0" w:firstRowFirstColumn="0" w:firstRowLastColumn="0" w:lastRowFirstColumn="0" w:lastRowLastColumn="0"/>
          <w:trHeight w:val="284"/>
        </w:trPr>
        <w:tc>
          <w:tcPr>
            <w:tcW w:w="1578" w:type="pct"/>
            <w:noWrap/>
          </w:tcPr>
          <w:p w:rsidR="001D76C1" w:rsidRPr="00370045" w:rsidRDefault="001D76C1" w:rsidP="00AF11F6">
            <w:pPr>
              <w:ind w:left="92"/>
              <w:rPr>
                <w:rFonts w:asciiTheme="minorHAnsi" w:hAnsiTheme="minorHAnsi" w:cstheme="minorHAnsi"/>
                <w:bCs/>
                <w:sz w:val="20"/>
                <w:szCs w:val="20"/>
              </w:rPr>
            </w:pPr>
            <w:r>
              <w:rPr>
                <w:rFonts w:asciiTheme="minorHAnsi" w:hAnsiTheme="minorHAnsi" w:cstheme="minorHAnsi"/>
                <w:bCs/>
                <w:sz w:val="20"/>
                <w:szCs w:val="20"/>
              </w:rPr>
              <w:t>Remplacement</w:t>
            </w:r>
            <w:r w:rsidRPr="00370045">
              <w:rPr>
                <w:rFonts w:asciiTheme="minorHAnsi" w:hAnsiTheme="minorHAnsi" w:cstheme="minorHAnsi"/>
                <w:bCs/>
                <w:sz w:val="20"/>
                <w:szCs w:val="20"/>
              </w:rPr>
              <w:t xml:space="preserve"> de départs en retraite</w:t>
            </w:r>
          </w:p>
        </w:tc>
        <w:tc>
          <w:tcPr>
            <w:tcW w:w="285" w:type="pct"/>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0%</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32%</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32%</w:t>
            </w:r>
          </w:p>
        </w:tc>
        <w:tc>
          <w:tcPr>
            <w:tcW w:w="287"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0%</w:t>
            </w:r>
          </w:p>
        </w:tc>
        <w:tc>
          <w:tcPr>
            <w:tcW w:w="285"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0%</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23%</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12%</w:t>
            </w:r>
          </w:p>
        </w:tc>
        <w:tc>
          <w:tcPr>
            <w:tcW w:w="288"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0%</w:t>
            </w:r>
          </w:p>
        </w:tc>
        <w:tc>
          <w:tcPr>
            <w:tcW w:w="286"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8%</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10%</w:t>
            </w:r>
          </w:p>
        </w:tc>
        <w:tc>
          <w:tcPr>
            <w:tcW w:w="288"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18%</w:t>
            </w:r>
          </w:p>
        </w:tc>
        <w:tc>
          <w:tcPr>
            <w:tcW w:w="275" w:type="pct"/>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14%</w:t>
            </w:r>
          </w:p>
        </w:tc>
      </w:tr>
      <w:tr w:rsidR="001D76C1" w:rsidRPr="002E40F6" w:rsidTr="00B41DC8">
        <w:trPr>
          <w:trHeight w:val="284"/>
        </w:trPr>
        <w:tc>
          <w:tcPr>
            <w:tcW w:w="1578" w:type="pct"/>
            <w:noWrap/>
          </w:tcPr>
          <w:p w:rsidR="001D76C1" w:rsidRPr="00370045" w:rsidRDefault="001D76C1" w:rsidP="00AF11F6">
            <w:pPr>
              <w:ind w:left="92"/>
              <w:rPr>
                <w:rFonts w:asciiTheme="minorHAnsi" w:hAnsiTheme="minorHAnsi" w:cstheme="minorHAnsi"/>
                <w:bCs/>
                <w:sz w:val="20"/>
                <w:szCs w:val="20"/>
              </w:rPr>
            </w:pPr>
            <w:r w:rsidRPr="00370045">
              <w:rPr>
                <w:rFonts w:asciiTheme="minorHAnsi" w:hAnsiTheme="minorHAnsi" w:cstheme="minorHAnsi"/>
                <w:bCs/>
                <w:sz w:val="20"/>
                <w:szCs w:val="20"/>
              </w:rPr>
              <w:t>Remplacement d’autres départs</w:t>
            </w:r>
          </w:p>
        </w:tc>
        <w:tc>
          <w:tcPr>
            <w:tcW w:w="285" w:type="pct"/>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44%</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24%</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28%</w:t>
            </w:r>
          </w:p>
        </w:tc>
        <w:tc>
          <w:tcPr>
            <w:tcW w:w="287"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73%</w:t>
            </w:r>
          </w:p>
        </w:tc>
        <w:tc>
          <w:tcPr>
            <w:tcW w:w="285"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0%</w:t>
            </w:r>
          </w:p>
        </w:tc>
        <w:tc>
          <w:tcPr>
            <w:tcW w:w="285"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34%</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50%</w:t>
            </w:r>
          </w:p>
        </w:tc>
        <w:tc>
          <w:tcPr>
            <w:tcW w:w="288" w:type="pct"/>
            <w:tcBorders>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100%</w:t>
            </w:r>
          </w:p>
        </w:tc>
        <w:tc>
          <w:tcPr>
            <w:tcW w:w="286"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47%</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43%</w:t>
            </w:r>
          </w:p>
        </w:tc>
        <w:tc>
          <w:tcPr>
            <w:tcW w:w="288"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20%</w:t>
            </w:r>
          </w:p>
        </w:tc>
        <w:tc>
          <w:tcPr>
            <w:tcW w:w="275" w:type="pct"/>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41%</w:t>
            </w:r>
          </w:p>
        </w:tc>
      </w:tr>
      <w:tr w:rsidR="001D76C1" w:rsidRPr="002E40F6" w:rsidTr="00B41DC8">
        <w:trPr>
          <w:cnfStyle w:val="000000100000" w:firstRow="0" w:lastRow="0" w:firstColumn="0" w:lastColumn="0" w:oddVBand="0" w:evenVBand="0" w:oddHBand="1" w:evenHBand="0" w:firstRowFirstColumn="0" w:firstRowLastColumn="0" w:lastRowFirstColumn="0" w:lastRowLastColumn="0"/>
          <w:trHeight w:val="284"/>
        </w:trPr>
        <w:tc>
          <w:tcPr>
            <w:tcW w:w="1578" w:type="pct"/>
            <w:noWrap/>
          </w:tcPr>
          <w:p w:rsidR="001D76C1" w:rsidRPr="00370045" w:rsidRDefault="001D76C1" w:rsidP="00AF11F6">
            <w:pPr>
              <w:ind w:left="92"/>
              <w:rPr>
                <w:rFonts w:asciiTheme="minorHAnsi" w:hAnsiTheme="minorHAnsi" w:cstheme="minorHAnsi"/>
                <w:bCs/>
                <w:sz w:val="20"/>
                <w:szCs w:val="20"/>
              </w:rPr>
            </w:pPr>
            <w:r w:rsidRPr="00370045">
              <w:rPr>
                <w:rFonts w:asciiTheme="minorHAnsi" w:hAnsiTheme="minorHAnsi" w:cstheme="minorHAnsi"/>
                <w:bCs/>
                <w:sz w:val="20"/>
                <w:szCs w:val="20"/>
              </w:rPr>
              <w:t xml:space="preserve">Réorganisation de la logistique </w:t>
            </w:r>
          </w:p>
        </w:tc>
        <w:tc>
          <w:tcPr>
            <w:tcW w:w="285" w:type="pct"/>
            <w:tcBorders>
              <w:bottom w:val="single" w:sz="8" w:space="0" w:color="C0504D" w:themeColor="accent2"/>
            </w:tcBorders>
            <w:noWrap/>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44%</w:t>
            </w:r>
          </w:p>
        </w:tc>
        <w:tc>
          <w:tcPr>
            <w:tcW w:w="285"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52%</w:t>
            </w:r>
          </w:p>
        </w:tc>
        <w:tc>
          <w:tcPr>
            <w:tcW w:w="286"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22%</w:t>
            </w:r>
          </w:p>
        </w:tc>
        <w:tc>
          <w:tcPr>
            <w:tcW w:w="287" w:type="pct"/>
            <w:tcBorders>
              <w:bottom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46%</w:t>
            </w:r>
          </w:p>
        </w:tc>
        <w:tc>
          <w:tcPr>
            <w:tcW w:w="285" w:type="pct"/>
            <w:tcBorders>
              <w:left w:val="single" w:sz="8" w:space="0" w:color="C0504D" w:themeColor="accent2"/>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33%</w:t>
            </w:r>
          </w:p>
        </w:tc>
        <w:tc>
          <w:tcPr>
            <w:tcW w:w="285"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31%</w:t>
            </w:r>
          </w:p>
        </w:tc>
        <w:tc>
          <w:tcPr>
            <w:tcW w:w="286" w:type="pct"/>
            <w:tcBorders>
              <w:bottom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12%</w:t>
            </w:r>
          </w:p>
        </w:tc>
        <w:tc>
          <w:tcPr>
            <w:tcW w:w="288" w:type="pct"/>
            <w:tcBorders>
              <w:bottom w:val="single" w:sz="8" w:space="0" w:color="C0504D" w:themeColor="accent2"/>
              <w:right w:val="single" w:sz="8" w:space="0" w:color="C0504D" w:themeColor="accent2"/>
            </w:tcBorders>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0%</w:t>
            </w:r>
          </w:p>
        </w:tc>
        <w:tc>
          <w:tcPr>
            <w:tcW w:w="286" w:type="pct"/>
            <w:tcBorders>
              <w:left w:val="single" w:sz="8" w:space="0" w:color="C0504D" w:themeColor="accent2"/>
            </w:tcBorders>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12%</w:t>
            </w:r>
          </w:p>
        </w:tc>
        <w:tc>
          <w:tcPr>
            <w:tcW w:w="286"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26%</w:t>
            </w:r>
          </w:p>
        </w:tc>
        <w:tc>
          <w:tcPr>
            <w:tcW w:w="288" w:type="pct"/>
            <w:vAlign w:val="center"/>
          </w:tcPr>
          <w:p w:rsidR="001D76C1" w:rsidRPr="00B41DC8" w:rsidRDefault="001D76C1" w:rsidP="00B41DC8">
            <w:pPr>
              <w:jc w:val="center"/>
              <w:rPr>
                <w:rFonts w:asciiTheme="minorHAnsi" w:hAnsiTheme="minorHAnsi" w:cstheme="minorHAnsi"/>
                <w:bCs/>
                <w:sz w:val="20"/>
                <w:szCs w:val="20"/>
              </w:rPr>
            </w:pPr>
            <w:r w:rsidRPr="00B41DC8">
              <w:rPr>
                <w:rFonts w:asciiTheme="minorHAnsi" w:hAnsiTheme="minorHAnsi" w:cstheme="minorHAnsi"/>
                <w:bCs/>
                <w:sz w:val="20"/>
                <w:szCs w:val="20"/>
              </w:rPr>
              <w:t>15%</w:t>
            </w:r>
          </w:p>
        </w:tc>
        <w:tc>
          <w:tcPr>
            <w:tcW w:w="275" w:type="pct"/>
            <w:vAlign w:val="center"/>
          </w:tcPr>
          <w:p w:rsidR="001D76C1" w:rsidRPr="00B41DC8" w:rsidRDefault="001D76C1" w:rsidP="00B41DC8">
            <w:pPr>
              <w:jc w:val="center"/>
              <w:rPr>
                <w:rFonts w:ascii="Calibri" w:hAnsi="Calibri" w:cs="Calibri"/>
                <w:color w:val="000000"/>
                <w:sz w:val="20"/>
                <w:szCs w:val="20"/>
              </w:rPr>
            </w:pPr>
            <w:r w:rsidRPr="00B41DC8">
              <w:rPr>
                <w:rFonts w:ascii="Calibri" w:hAnsi="Calibri" w:cs="Calibri"/>
                <w:color w:val="000000"/>
                <w:sz w:val="20"/>
                <w:szCs w:val="20"/>
              </w:rPr>
              <w:t>13%</w:t>
            </w:r>
          </w:p>
        </w:tc>
      </w:tr>
    </w:tbl>
    <w:p w:rsidR="002B1371" w:rsidRDefault="002B1371" w:rsidP="002B1371">
      <w:pPr>
        <w:jc w:val="both"/>
        <w:rPr>
          <w:rFonts w:ascii="Calibri" w:hAnsi="Calibri" w:cs="Calibri"/>
        </w:rPr>
      </w:pPr>
    </w:p>
    <w:p w:rsidR="00A257C6" w:rsidRPr="002436B1" w:rsidRDefault="00A257C6" w:rsidP="002B1371">
      <w:pPr>
        <w:jc w:val="both"/>
        <w:rPr>
          <w:rFonts w:ascii="Calibri" w:hAnsi="Calibri" w:cs="Calibri"/>
        </w:rPr>
      </w:pPr>
    </w:p>
    <w:p w:rsidR="002B1371" w:rsidRDefault="00F85B17" w:rsidP="002B1371">
      <w:pPr>
        <w:jc w:val="both"/>
        <w:rPr>
          <w:rFonts w:ascii="Calibri" w:hAnsi="Calibri" w:cs="Calibri"/>
        </w:rPr>
      </w:pPr>
      <w:r>
        <w:rPr>
          <w:rFonts w:ascii="Calibri" w:hAnsi="Calibri" w:cs="Calibri"/>
        </w:rPr>
        <w:t>Plus de la moitié des recruteurs d’opérateurs logistiques appartenant à des établissements de moins de 100 salariés (et 45% de ceux rel</w:t>
      </w:r>
      <w:r w:rsidR="00E36618">
        <w:rPr>
          <w:rFonts w:ascii="Calibri" w:hAnsi="Calibri" w:cs="Calibri"/>
        </w:rPr>
        <w:t>e</w:t>
      </w:r>
      <w:r>
        <w:rPr>
          <w:rFonts w:ascii="Calibri" w:hAnsi="Calibri" w:cs="Calibri"/>
        </w:rPr>
        <w:t xml:space="preserve">vant d’établissements de 100 salariés et plus) expliquent que </w:t>
      </w:r>
      <w:r w:rsidR="00E36618">
        <w:rPr>
          <w:rFonts w:ascii="Calibri" w:hAnsi="Calibri" w:cs="Calibri"/>
        </w:rPr>
        <w:t xml:space="preserve">ces embauches répondaient à un </w:t>
      </w:r>
      <w:r>
        <w:rPr>
          <w:rFonts w:ascii="Calibri" w:hAnsi="Calibri" w:cs="Calibri"/>
        </w:rPr>
        <w:t>surcroît d’activité</w:t>
      </w:r>
      <w:r w:rsidR="00E36618">
        <w:rPr>
          <w:rFonts w:ascii="Calibri" w:hAnsi="Calibri" w:cs="Calibri"/>
        </w:rPr>
        <w:t xml:space="preserve"> en 2014</w:t>
      </w:r>
      <w:r>
        <w:rPr>
          <w:rFonts w:ascii="Calibri" w:hAnsi="Calibri" w:cs="Calibri"/>
        </w:rPr>
        <w:t xml:space="preserve">.  </w:t>
      </w:r>
    </w:p>
    <w:p w:rsidR="000643E9" w:rsidRDefault="000643E9" w:rsidP="002B1371">
      <w:pPr>
        <w:jc w:val="both"/>
        <w:rPr>
          <w:rFonts w:ascii="Calibri" w:hAnsi="Calibri" w:cs="Calibri"/>
        </w:rPr>
      </w:pPr>
    </w:p>
    <w:p w:rsidR="000643E9" w:rsidRDefault="007D2160" w:rsidP="002B1371">
      <w:pPr>
        <w:jc w:val="both"/>
        <w:rPr>
          <w:rFonts w:ascii="Calibri" w:hAnsi="Calibri" w:cs="Calibri"/>
        </w:rPr>
      </w:pPr>
      <w:r>
        <w:rPr>
          <w:rFonts w:ascii="Calibri" w:hAnsi="Calibri" w:cs="Calibri"/>
        </w:rPr>
        <w:t>Le surcroît</w:t>
      </w:r>
      <w:r w:rsidR="00E36618">
        <w:rPr>
          <w:rFonts w:ascii="Calibri" w:hAnsi="Calibri" w:cs="Calibri"/>
        </w:rPr>
        <w:t xml:space="preserve"> </w:t>
      </w:r>
      <w:r>
        <w:rPr>
          <w:rFonts w:ascii="Calibri" w:hAnsi="Calibri" w:cs="Calibri"/>
        </w:rPr>
        <w:t>d’</w:t>
      </w:r>
      <w:r w:rsidR="00E36618">
        <w:rPr>
          <w:rFonts w:ascii="Calibri" w:hAnsi="Calibri" w:cs="Calibri"/>
        </w:rPr>
        <w:t xml:space="preserve">activité </w:t>
      </w:r>
      <w:r>
        <w:rPr>
          <w:rFonts w:ascii="Calibri" w:hAnsi="Calibri" w:cs="Calibri"/>
        </w:rPr>
        <w:t xml:space="preserve">de ces établissements </w:t>
      </w:r>
      <w:r w:rsidR="00E36618">
        <w:rPr>
          <w:rFonts w:ascii="Calibri" w:hAnsi="Calibri" w:cs="Calibri"/>
        </w:rPr>
        <w:t xml:space="preserve">a vraisemblablement </w:t>
      </w:r>
      <w:r>
        <w:rPr>
          <w:rFonts w:ascii="Calibri" w:hAnsi="Calibri" w:cs="Calibri"/>
        </w:rPr>
        <w:t xml:space="preserve">eu </w:t>
      </w:r>
      <w:r w:rsidR="00E36618">
        <w:rPr>
          <w:rFonts w:ascii="Calibri" w:hAnsi="Calibri" w:cs="Calibri"/>
        </w:rPr>
        <w:t xml:space="preserve">moins d’impact direct sur les recrutements de cadres de la logistique. </w:t>
      </w:r>
      <w:r>
        <w:rPr>
          <w:rFonts w:ascii="Calibri" w:hAnsi="Calibri" w:cs="Calibri"/>
        </w:rPr>
        <w:t xml:space="preserve">En revanche, la mise en œuvre de réorganisations logistiques a fréquemment justifié </w:t>
      </w:r>
      <w:r w:rsidR="0007443A">
        <w:rPr>
          <w:rFonts w:ascii="Calibri" w:hAnsi="Calibri" w:cs="Calibri"/>
        </w:rPr>
        <w:t xml:space="preserve">les </w:t>
      </w:r>
      <w:r>
        <w:rPr>
          <w:rFonts w:ascii="Calibri" w:hAnsi="Calibri" w:cs="Calibri"/>
        </w:rPr>
        <w:t>embauche</w:t>
      </w:r>
      <w:r w:rsidR="0007443A">
        <w:rPr>
          <w:rFonts w:ascii="Calibri" w:hAnsi="Calibri" w:cs="Calibri"/>
        </w:rPr>
        <w:t>s</w:t>
      </w:r>
      <w:r>
        <w:rPr>
          <w:rFonts w:ascii="Calibri" w:hAnsi="Calibri" w:cs="Calibri"/>
        </w:rPr>
        <w:t xml:space="preserve"> </w:t>
      </w:r>
      <w:r w:rsidR="0007443A">
        <w:rPr>
          <w:rFonts w:ascii="Calibri" w:hAnsi="Calibri" w:cs="Calibri"/>
        </w:rPr>
        <w:t>dans</w:t>
      </w:r>
      <w:r>
        <w:rPr>
          <w:rFonts w:ascii="Calibri" w:hAnsi="Calibri" w:cs="Calibri"/>
        </w:rPr>
        <w:t xml:space="preserve"> cette catégorie </w:t>
      </w:r>
      <w:r w:rsidR="00E92B38">
        <w:rPr>
          <w:rFonts w:ascii="Calibri" w:hAnsi="Calibri" w:cs="Calibri"/>
        </w:rPr>
        <w:t xml:space="preserve">d’emploi </w:t>
      </w:r>
      <w:r>
        <w:rPr>
          <w:rFonts w:ascii="Calibri" w:hAnsi="Calibri" w:cs="Calibri"/>
        </w:rPr>
        <w:t>(motif cité par la moitié des établissements de 100 salariés et plus).</w:t>
      </w:r>
    </w:p>
    <w:p w:rsidR="00064D05" w:rsidRPr="002436B1" w:rsidRDefault="00064D05" w:rsidP="002B1371">
      <w:pPr>
        <w:jc w:val="both"/>
        <w:rPr>
          <w:rFonts w:ascii="Calibri" w:hAnsi="Calibri" w:cs="Calibri"/>
        </w:rPr>
      </w:pPr>
    </w:p>
    <w:p w:rsidR="003300B7" w:rsidRDefault="003300B7">
      <w:pPr>
        <w:rPr>
          <w:rFonts w:ascii="Arial Black" w:hAnsi="Arial Black" w:cs="Calibri"/>
          <w:b/>
          <w:bCs/>
          <w:color w:val="632423"/>
        </w:rPr>
      </w:pPr>
      <w:r>
        <w:rPr>
          <w:rFonts w:ascii="Arial Black" w:hAnsi="Arial Black" w:cs="Calibri"/>
          <w:b/>
          <w:bCs/>
          <w:color w:val="632423"/>
        </w:rPr>
        <w:br w:type="page"/>
      </w:r>
    </w:p>
    <w:p w:rsidR="002B1371" w:rsidRPr="00AF11F6" w:rsidRDefault="00E92B38" w:rsidP="00064D05">
      <w:pPr>
        <w:rPr>
          <w:rFonts w:ascii="Arial Black" w:hAnsi="Arial Black" w:cs="Calibri"/>
          <w:b/>
          <w:bCs/>
          <w:color w:val="632423"/>
        </w:rPr>
      </w:pPr>
      <w:r>
        <w:rPr>
          <w:rFonts w:ascii="Arial Black" w:hAnsi="Arial Black" w:cs="Calibri"/>
          <w:b/>
          <w:bCs/>
          <w:color w:val="632423"/>
        </w:rPr>
        <w:t xml:space="preserve">Les </w:t>
      </w:r>
      <w:r w:rsidR="002F48E8">
        <w:rPr>
          <w:rFonts w:ascii="Arial Black" w:hAnsi="Arial Black" w:cs="Calibri"/>
          <w:b/>
          <w:bCs/>
          <w:color w:val="632423"/>
        </w:rPr>
        <w:t xml:space="preserve">employeurs ont </w:t>
      </w:r>
      <w:r>
        <w:rPr>
          <w:rFonts w:ascii="Arial Black" w:hAnsi="Arial Black" w:cs="Calibri"/>
          <w:b/>
          <w:bCs/>
          <w:color w:val="632423"/>
        </w:rPr>
        <w:t>préféré le</w:t>
      </w:r>
      <w:r w:rsidR="00C24DDB">
        <w:rPr>
          <w:rFonts w:ascii="Arial Black" w:hAnsi="Arial Black" w:cs="Calibri"/>
          <w:b/>
          <w:bCs/>
          <w:color w:val="632423"/>
        </w:rPr>
        <w:t xml:space="preserve"> contrat d’apprentissage</w:t>
      </w:r>
      <w:r w:rsidR="002F48E8">
        <w:rPr>
          <w:rFonts w:ascii="Arial Black" w:hAnsi="Arial Black" w:cs="Calibri"/>
          <w:b/>
          <w:bCs/>
          <w:color w:val="632423"/>
        </w:rPr>
        <w:t xml:space="preserve"> au contrat de professionnalisation</w:t>
      </w:r>
    </w:p>
    <w:p w:rsidR="002B1371" w:rsidRPr="002436B1" w:rsidRDefault="002B1371" w:rsidP="002B1371">
      <w:pPr>
        <w:jc w:val="center"/>
        <w:rPr>
          <w:rFonts w:ascii="Calibri" w:hAnsi="Calibri" w:cs="Calibri"/>
          <w:b/>
        </w:rPr>
      </w:pPr>
    </w:p>
    <w:p w:rsidR="002B1371" w:rsidRPr="002436B1" w:rsidRDefault="002B1371" w:rsidP="002B1371">
      <w:pPr>
        <w:jc w:val="center"/>
        <w:rPr>
          <w:rFonts w:ascii="Calibri" w:hAnsi="Calibri" w:cs="Calibri"/>
          <w:b/>
        </w:rPr>
      </w:pPr>
      <w:r w:rsidRPr="002436B1">
        <w:rPr>
          <w:rFonts w:ascii="Calibri" w:hAnsi="Calibri" w:cs="Calibri"/>
          <w:b/>
        </w:rPr>
        <w:t>Pourcentage d’établissements recruteurs ayant utilisé les dispositifs suivants pour recruter</w:t>
      </w:r>
    </w:p>
    <w:p w:rsidR="002B1371" w:rsidRPr="002436B1" w:rsidRDefault="002B1371" w:rsidP="002B1371">
      <w:pPr>
        <w:rPr>
          <w:rFonts w:ascii="Calibri" w:hAnsi="Calibri" w:cs="Calibri"/>
        </w:rPr>
      </w:pPr>
    </w:p>
    <w:p w:rsidR="002B1371" w:rsidRPr="0045613C" w:rsidRDefault="0045613C" w:rsidP="002B1371">
      <w:pPr>
        <w:rPr>
          <w:rFonts w:ascii="Calibri" w:hAnsi="Calibri" w:cs="Calibri"/>
          <w:i/>
          <w:iCs/>
          <w:sz w:val="20"/>
        </w:rPr>
      </w:pPr>
      <w:r>
        <w:rPr>
          <w:rFonts w:ascii="Calibri" w:hAnsi="Calibri" w:cs="Calibri"/>
          <w:i/>
          <w:iCs/>
          <w:sz w:val="20"/>
        </w:rPr>
        <w:t xml:space="preserve">                                                                                                                           </w:t>
      </w:r>
      <w:r w:rsidR="002B1371" w:rsidRPr="0045613C">
        <w:rPr>
          <w:rFonts w:ascii="Calibri" w:hAnsi="Calibri" w:cs="Calibri"/>
          <w:i/>
          <w:iCs/>
          <w:sz w:val="20"/>
        </w:rPr>
        <w:t>Etablissements de 100 salariés et plus</w:t>
      </w:r>
      <w:r w:rsidRPr="0045613C">
        <w:rPr>
          <w:rFonts w:ascii="Calibri" w:hAnsi="Calibri" w:cs="Calibri"/>
          <w:i/>
          <w:iCs/>
        </w:rPr>
        <w:t xml:space="preserve"> </w:t>
      </w:r>
      <w:r>
        <w:rPr>
          <w:rFonts w:ascii="Calibri" w:hAnsi="Calibri" w:cs="Calibri"/>
          <w:i/>
          <w:iCs/>
        </w:rPr>
        <w:t xml:space="preserve">                                                               </w:t>
      </w:r>
      <w:r w:rsidRPr="0045613C">
        <w:rPr>
          <w:rFonts w:ascii="Calibri" w:hAnsi="Calibri" w:cs="Calibri"/>
          <w:i/>
          <w:iCs/>
          <w:sz w:val="20"/>
        </w:rPr>
        <w:t>Etablissements de 50 à 99 salariés</w:t>
      </w:r>
    </w:p>
    <w:tbl>
      <w:tblPr>
        <w:tblStyle w:val="Listemoyenne1-Accent4"/>
        <w:tblW w:w="4820" w:type="pct"/>
        <w:tblLook w:val="04A0" w:firstRow="1" w:lastRow="0" w:firstColumn="1" w:lastColumn="0" w:noHBand="0" w:noVBand="1"/>
      </w:tblPr>
      <w:tblGrid>
        <w:gridCol w:w="6488"/>
        <w:gridCol w:w="622"/>
        <w:gridCol w:w="770"/>
        <w:gridCol w:w="790"/>
        <w:gridCol w:w="622"/>
        <w:gridCol w:w="770"/>
        <w:gridCol w:w="723"/>
        <w:gridCol w:w="622"/>
        <w:gridCol w:w="726"/>
        <w:gridCol w:w="314"/>
        <w:gridCol w:w="723"/>
        <w:gridCol w:w="648"/>
        <w:gridCol w:w="709"/>
      </w:tblGrid>
      <w:tr w:rsidR="00826A43" w:rsidRPr="00B77965" w:rsidTr="00826A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3" w:type="pct"/>
            <w:tcBorders>
              <w:top w:val="single" w:sz="8" w:space="0" w:color="8064A2" w:themeColor="accent4"/>
            </w:tcBorders>
            <w:noWrap/>
            <w:vAlign w:val="center"/>
          </w:tcPr>
          <w:p w:rsidR="0045613C" w:rsidRPr="00B77965" w:rsidRDefault="0045613C" w:rsidP="00AE7DFF">
            <w:pPr>
              <w:rPr>
                <w:rFonts w:asciiTheme="minorHAnsi" w:hAnsiTheme="minorHAnsi" w:cstheme="minorHAnsi"/>
                <w:b w:val="0"/>
                <w:bCs w:val="0"/>
                <w:sz w:val="20"/>
                <w:szCs w:val="20"/>
              </w:rPr>
            </w:pPr>
          </w:p>
        </w:tc>
        <w:tc>
          <w:tcPr>
            <w:tcW w:w="214"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IAA</w:t>
            </w:r>
          </w:p>
        </w:tc>
        <w:tc>
          <w:tcPr>
            <w:tcW w:w="265"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PHAR</w:t>
            </w:r>
          </w:p>
        </w:tc>
        <w:tc>
          <w:tcPr>
            <w:tcW w:w="272"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AUTO</w:t>
            </w:r>
          </w:p>
        </w:tc>
        <w:tc>
          <w:tcPr>
            <w:tcW w:w="214"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IEM</w:t>
            </w:r>
          </w:p>
        </w:tc>
        <w:tc>
          <w:tcPr>
            <w:tcW w:w="265"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CHIM</w:t>
            </w:r>
          </w:p>
        </w:tc>
        <w:tc>
          <w:tcPr>
            <w:tcW w:w="249"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COM</w:t>
            </w:r>
          </w:p>
        </w:tc>
        <w:tc>
          <w:tcPr>
            <w:tcW w:w="214"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TRP</w:t>
            </w:r>
          </w:p>
        </w:tc>
        <w:tc>
          <w:tcPr>
            <w:tcW w:w="250" w:type="pct"/>
            <w:tcBorders>
              <w:top w:val="single" w:sz="8" w:space="0" w:color="8064A2" w:themeColor="accent4"/>
            </w:tcBorders>
            <w:noWrap/>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77965">
              <w:rPr>
                <w:rFonts w:asciiTheme="minorHAnsi" w:hAnsiTheme="minorHAnsi" w:cstheme="minorHAnsi"/>
                <w:bCs/>
                <w:sz w:val="20"/>
                <w:szCs w:val="20"/>
              </w:rPr>
              <w:t>Total</w:t>
            </w:r>
          </w:p>
        </w:tc>
        <w:tc>
          <w:tcPr>
            <w:tcW w:w="108" w:type="pct"/>
            <w:tcBorders>
              <w:bottom w:val="nil"/>
            </w:tcBorders>
            <w:shd w:val="clear" w:color="auto" w:fill="auto"/>
            <w:vAlign w:val="center"/>
          </w:tcPr>
          <w:p w:rsidR="0045613C" w:rsidRPr="00B77965"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249" w:type="pct"/>
            <w:tcBorders>
              <w:top w:val="single" w:sz="8" w:space="0" w:color="8064A2" w:themeColor="accent4"/>
            </w:tcBorders>
            <w:vAlign w:val="center"/>
          </w:tcPr>
          <w:p w:rsidR="0045613C" w:rsidRPr="0045613C"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5613C">
              <w:rPr>
                <w:rFonts w:asciiTheme="minorHAnsi" w:hAnsiTheme="minorHAnsi" w:cstheme="minorHAnsi"/>
                <w:bCs/>
                <w:sz w:val="20"/>
                <w:szCs w:val="20"/>
              </w:rPr>
              <w:t>COM</w:t>
            </w:r>
          </w:p>
        </w:tc>
        <w:tc>
          <w:tcPr>
            <w:tcW w:w="223" w:type="pct"/>
            <w:tcBorders>
              <w:top w:val="single" w:sz="8" w:space="0" w:color="8064A2" w:themeColor="accent4"/>
            </w:tcBorders>
            <w:vAlign w:val="center"/>
          </w:tcPr>
          <w:p w:rsidR="0045613C" w:rsidRPr="0045613C"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5613C">
              <w:rPr>
                <w:rFonts w:asciiTheme="minorHAnsi" w:hAnsiTheme="minorHAnsi" w:cstheme="minorHAnsi"/>
                <w:bCs/>
                <w:sz w:val="20"/>
                <w:szCs w:val="20"/>
              </w:rPr>
              <w:t>TRP</w:t>
            </w:r>
          </w:p>
        </w:tc>
        <w:tc>
          <w:tcPr>
            <w:tcW w:w="246" w:type="pct"/>
            <w:tcBorders>
              <w:top w:val="single" w:sz="8" w:space="0" w:color="8064A2" w:themeColor="accent4"/>
            </w:tcBorders>
            <w:vAlign w:val="center"/>
          </w:tcPr>
          <w:p w:rsidR="0045613C" w:rsidRPr="0045613C" w:rsidRDefault="0045613C" w:rsidP="00AE7DFF">
            <w:pPr>
              <w:ind w:left="2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5613C">
              <w:rPr>
                <w:rFonts w:asciiTheme="minorHAnsi" w:hAnsiTheme="minorHAnsi" w:cstheme="minorHAnsi"/>
                <w:bCs/>
                <w:sz w:val="20"/>
                <w:szCs w:val="20"/>
              </w:rPr>
              <w:t>Total</w:t>
            </w:r>
          </w:p>
        </w:tc>
      </w:tr>
      <w:tr w:rsidR="00826A43" w:rsidRPr="00B77965" w:rsidTr="00826A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 xml:space="preserve">Contrat d'apprentissage  </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21%</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23%</w:t>
            </w:r>
          </w:p>
        </w:tc>
        <w:tc>
          <w:tcPr>
            <w:tcW w:w="272"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14%</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31%</w:t>
            </w:r>
          </w:p>
        </w:tc>
        <w:tc>
          <w:tcPr>
            <w:tcW w:w="249"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9%</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22%</w:t>
            </w:r>
          </w:p>
        </w:tc>
        <w:tc>
          <w:tcPr>
            <w:tcW w:w="250"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17%</w:t>
            </w:r>
          </w:p>
        </w:tc>
        <w:tc>
          <w:tcPr>
            <w:tcW w:w="108" w:type="pct"/>
            <w:tcBorders>
              <w:top w:val="nil"/>
              <w:bottom w:val="nil"/>
            </w:tcBorders>
            <w:shd w:val="clear" w:color="auto" w:fill="auto"/>
            <w:vAlign w:val="center"/>
          </w:tcPr>
          <w:p w:rsidR="006F43AC" w:rsidRPr="00B77965" w:rsidRDefault="006F43AC"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223"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20%</w:t>
            </w:r>
          </w:p>
        </w:tc>
        <w:tc>
          <w:tcPr>
            <w:tcW w:w="246"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11%</w:t>
            </w:r>
          </w:p>
        </w:tc>
      </w:tr>
      <w:tr w:rsidR="00826A43" w:rsidRPr="00B77965" w:rsidTr="00826A43">
        <w:trPr>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 xml:space="preserve">Contrat de professionnalisation </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12%</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12%</w:t>
            </w:r>
          </w:p>
        </w:tc>
        <w:tc>
          <w:tcPr>
            <w:tcW w:w="272"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16%</w:t>
            </w:r>
          </w:p>
        </w:tc>
        <w:tc>
          <w:tcPr>
            <w:tcW w:w="249"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15%</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19%</w:t>
            </w:r>
          </w:p>
        </w:tc>
        <w:tc>
          <w:tcPr>
            <w:tcW w:w="250"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12%</w:t>
            </w:r>
          </w:p>
        </w:tc>
        <w:tc>
          <w:tcPr>
            <w:tcW w:w="108" w:type="pct"/>
            <w:tcBorders>
              <w:top w:val="nil"/>
              <w:bottom w:val="nil"/>
            </w:tcBorders>
            <w:shd w:val="clear" w:color="auto" w:fill="auto"/>
            <w:vAlign w:val="center"/>
          </w:tcPr>
          <w:p w:rsidR="006F43AC" w:rsidRPr="00B77965" w:rsidRDefault="006F43AC" w:rsidP="00AE7D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223"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15%</w:t>
            </w:r>
          </w:p>
        </w:tc>
        <w:tc>
          <w:tcPr>
            <w:tcW w:w="246"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9%</w:t>
            </w:r>
          </w:p>
        </w:tc>
      </w:tr>
      <w:tr w:rsidR="00826A43" w:rsidRPr="00B77965" w:rsidTr="00826A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Actions de formation préalable au recrutement (AFPR-dispositif Pôle emploi)</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72"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250"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08" w:type="pct"/>
            <w:tcBorders>
              <w:top w:val="nil"/>
              <w:bottom w:val="nil"/>
            </w:tcBorders>
            <w:shd w:val="clear" w:color="auto" w:fill="auto"/>
            <w:vAlign w:val="center"/>
          </w:tcPr>
          <w:p w:rsidR="006F43AC" w:rsidRPr="00B77965" w:rsidRDefault="006F43AC"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23"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826A43" w:rsidRPr="00B77965" w:rsidTr="00826A43">
        <w:trPr>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Préparation opérationnelle à l'emploi (POE - dispositif Pôle emploi)</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72"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6%</w:t>
            </w:r>
          </w:p>
        </w:tc>
        <w:tc>
          <w:tcPr>
            <w:tcW w:w="250"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08" w:type="pct"/>
            <w:tcBorders>
              <w:top w:val="nil"/>
              <w:bottom w:val="nil"/>
            </w:tcBorders>
            <w:shd w:val="clear" w:color="auto" w:fill="auto"/>
            <w:vAlign w:val="center"/>
          </w:tcPr>
          <w:p w:rsidR="006F43AC" w:rsidRPr="00B77965" w:rsidRDefault="006F43AC" w:rsidP="00AE7D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23"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826A43" w:rsidRPr="00B77965" w:rsidTr="00826A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Contrat unique d'insertion - contrat initiative-emploi (CUI-CIE)</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72"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250"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08" w:type="pct"/>
            <w:tcBorders>
              <w:top w:val="nil"/>
              <w:bottom w:val="nil"/>
            </w:tcBorders>
            <w:shd w:val="clear" w:color="auto" w:fill="auto"/>
            <w:vAlign w:val="center"/>
          </w:tcPr>
          <w:p w:rsidR="006F43AC" w:rsidRPr="00B77965" w:rsidRDefault="006F43AC"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23"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826A43" w:rsidRPr="00B77965" w:rsidTr="00826A43">
        <w:trPr>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Contrat d'insertion dans la vie sociale (CIVIS)</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72"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50"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108" w:type="pct"/>
            <w:tcBorders>
              <w:top w:val="nil"/>
              <w:bottom w:val="nil"/>
            </w:tcBorders>
            <w:shd w:val="clear" w:color="auto" w:fill="auto"/>
            <w:vAlign w:val="center"/>
          </w:tcPr>
          <w:p w:rsidR="006F43AC" w:rsidRPr="00B77965" w:rsidRDefault="006F43AC" w:rsidP="00AE7D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23"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826A43" w:rsidRPr="00B77965" w:rsidTr="00826A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CDD " seniors "</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72"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50"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108" w:type="pct"/>
            <w:tcBorders>
              <w:top w:val="nil"/>
              <w:bottom w:val="nil"/>
            </w:tcBorders>
            <w:shd w:val="clear" w:color="auto" w:fill="auto"/>
            <w:vAlign w:val="center"/>
          </w:tcPr>
          <w:p w:rsidR="006F43AC" w:rsidRPr="00B77965" w:rsidRDefault="006F43AC"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23"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r w:rsidR="00826A43" w:rsidRPr="00B77965" w:rsidTr="00826A43">
        <w:trPr>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Contrat de génération</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4%</w:t>
            </w:r>
          </w:p>
        </w:tc>
        <w:tc>
          <w:tcPr>
            <w:tcW w:w="272"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50" w:type="pct"/>
            <w:noWrap/>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08" w:type="pct"/>
            <w:tcBorders>
              <w:top w:val="nil"/>
              <w:bottom w:val="nil"/>
            </w:tcBorders>
            <w:shd w:val="clear" w:color="auto" w:fill="auto"/>
            <w:vAlign w:val="center"/>
          </w:tcPr>
          <w:p w:rsidR="006F43AC" w:rsidRPr="00B77965" w:rsidRDefault="006F43AC" w:rsidP="00AE7D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223"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3%</w:t>
            </w:r>
          </w:p>
        </w:tc>
      </w:tr>
      <w:tr w:rsidR="00826A43" w:rsidRPr="00B77965" w:rsidTr="00826A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3" w:type="pct"/>
            <w:noWrap/>
            <w:vAlign w:val="center"/>
          </w:tcPr>
          <w:p w:rsidR="006F43AC" w:rsidRPr="00B77965" w:rsidRDefault="006F43AC" w:rsidP="00AE7DFF">
            <w:pPr>
              <w:rPr>
                <w:rFonts w:asciiTheme="minorHAnsi" w:hAnsiTheme="minorHAnsi" w:cstheme="minorHAnsi"/>
                <w:b w:val="0"/>
                <w:bCs w:val="0"/>
                <w:sz w:val="20"/>
                <w:szCs w:val="20"/>
              </w:rPr>
            </w:pPr>
            <w:r w:rsidRPr="00B77965">
              <w:rPr>
                <w:rFonts w:asciiTheme="minorHAnsi" w:hAnsiTheme="minorHAnsi" w:cstheme="minorHAnsi"/>
                <w:b w:val="0"/>
                <w:bCs w:val="0"/>
                <w:sz w:val="20"/>
                <w:szCs w:val="20"/>
              </w:rPr>
              <w:t>Contrat "emploi avenir</w:t>
            </w:r>
            <w:r>
              <w:rPr>
                <w:rFonts w:asciiTheme="minorHAnsi" w:hAnsiTheme="minorHAnsi" w:cstheme="minorHAnsi"/>
                <w:b w:val="0"/>
                <w:bCs w:val="0"/>
                <w:sz w:val="20"/>
                <w:szCs w:val="20"/>
              </w:rPr>
              <w:t>"</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72"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65"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9"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2%</w:t>
            </w:r>
          </w:p>
        </w:tc>
        <w:tc>
          <w:tcPr>
            <w:tcW w:w="214"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5%</w:t>
            </w:r>
          </w:p>
        </w:tc>
        <w:tc>
          <w:tcPr>
            <w:tcW w:w="250" w:type="pct"/>
            <w:noWrap/>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1%</w:t>
            </w:r>
          </w:p>
        </w:tc>
        <w:tc>
          <w:tcPr>
            <w:tcW w:w="108" w:type="pct"/>
            <w:tcBorders>
              <w:top w:val="nil"/>
              <w:bottom w:val="nil"/>
            </w:tcBorders>
            <w:shd w:val="clear" w:color="auto" w:fill="auto"/>
            <w:vAlign w:val="center"/>
          </w:tcPr>
          <w:p w:rsidR="006F43AC" w:rsidRPr="00B77965" w:rsidRDefault="006F43AC" w:rsidP="00AE7D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9"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23"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c>
          <w:tcPr>
            <w:tcW w:w="246" w:type="pct"/>
            <w:vAlign w:val="bottom"/>
          </w:tcPr>
          <w:p w:rsidR="006F43AC" w:rsidRPr="004138F5" w:rsidRDefault="006F43AC" w:rsidP="004138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4138F5">
              <w:rPr>
                <w:rFonts w:ascii="Calibri" w:hAnsi="Calibri" w:cs="Calibri"/>
                <w:color w:val="000000"/>
                <w:sz w:val="20"/>
                <w:szCs w:val="16"/>
              </w:rPr>
              <w:t>0%</w:t>
            </w:r>
          </w:p>
        </w:tc>
      </w:tr>
    </w:tbl>
    <w:p w:rsidR="002B1371" w:rsidRDefault="002B1371" w:rsidP="002B1371">
      <w:pPr>
        <w:rPr>
          <w:rFonts w:ascii="Calibri" w:hAnsi="Calibri" w:cs="Calibri"/>
        </w:rPr>
      </w:pPr>
    </w:p>
    <w:p w:rsidR="00A257C6" w:rsidRPr="002436B1" w:rsidRDefault="00A257C6" w:rsidP="002B1371">
      <w:pPr>
        <w:rPr>
          <w:rFonts w:ascii="Calibri" w:hAnsi="Calibri" w:cs="Calibri"/>
        </w:rPr>
      </w:pPr>
    </w:p>
    <w:p w:rsidR="002B1371" w:rsidRPr="002436B1" w:rsidRDefault="002F48E8" w:rsidP="002B1371">
      <w:pPr>
        <w:jc w:val="both"/>
        <w:rPr>
          <w:rFonts w:ascii="Calibri" w:hAnsi="Calibri" w:cs="Calibri"/>
        </w:rPr>
      </w:pPr>
      <w:r>
        <w:rPr>
          <w:rFonts w:ascii="Calibri" w:hAnsi="Calibri" w:cs="Calibri"/>
        </w:rPr>
        <w:t>Quels que soient les secteurs d’activité, excepté le commerce, les établissements sont plus nombreux en 2014 à avoir recruté du personnel logistique grâce aux contrats d’apprentissage qu</w:t>
      </w:r>
      <w:r w:rsidR="00FC018D">
        <w:rPr>
          <w:rFonts w:ascii="Calibri" w:hAnsi="Calibri" w:cs="Calibri"/>
        </w:rPr>
        <w:t>e par le biais de</w:t>
      </w:r>
      <w:r>
        <w:rPr>
          <w:rFonts w:ascii="Calibri" w:hAnsi="Calibri" w:cs="Calibri"/>
        </w:rPr>
        <w:t xml:space="preserve"> contrats de professionnalisation. </w:t>
      </w:r>
      <w:r w:rsidR="00FC018D">
        <w:rPr>
          <w:rFonts w:ascii="Calibri" w:hAnsi="Calibri" w:cs="Calibri"/>
        </w:rPr>
        <w:t>Ainsi, 17% de l’ensemble des établissements de 100</w:t>
      </w:r>
      <w:r>
        <w:rPr>
          <w:rFonts w:ascii="Calibri" w:hAnsi="Calibri" w:cs="Calibri"/>
        </w:rPr>
        <w:t xml:space="preserve"> </w:t>
      </w:r>
      <w:r w:rsidR="00FC018D">
        <w:rPr>
          <w:rFonts w:ascii="Calibri" w:hAnsi="Calibri" w:cs="Calibri"/>
        </w:rPr>
        <w:t xml:space="preserve">salariés et plus interrogés ont utilisé les contrats d’apprentissage pour recruter du personnel logistique, soit cinq points de plus que </w:t>
      </w:r>
      <w:r w:rsidR="0007443A">
        <w:rPr>
          <w:rFonts w:ascii="Calibri" w:hAnsi="Calibri" w:cs="Calibri"/>
        </w:rPr>
        <w:t>la part</w:t>
      </w:r>
      <w:r w:rsidR="00FC018D">
        <w:rPr>
          <w:rFonts w:ascii="Calibri" w:hAnsi="Calibri" w:cs="Calibri"/>
        </w:rPr>
        <w:t xml:space="preserve"> de ceux qui ont signé des contrats de professionnalisation.</w:t>
      </w:r>
      <w:r w:rsidR="002B1371" w:rsidRPr="002436B1">
        <w:rPr>
          <w:rFonts w:ascii="Calibri" w:hAnsi="Calibri" w:cs="Calibri"/>
        </w:rPr>
        <w:t xml:space="preserve"> </w:t>
      </w:r>
    </w:p>
    <w:p w:rsidR="002B1371" w:rsidRPr="002436B1" w:rsidRDefault="002B1371" w:rsidP="002B1371">
      <w:pPr>
        <w:jc w:val="both"/>
        <w:rPr>
          <w:rFonts w:ascii="Calibri" w:hAnsi="Calibri" w:cs="Calibri"/>
        </w:rPr>
      </w:pPr>
    </w:p>
    <w:p w:rsidR="002B1371" w:rsidRPr="002436B1" w:rsidRDefault="002B1371" w:rsidP="002B1371">
      <w:pPr>
        <w:jc w:val="both"/>
        <w:rPr>
          <w:rFonts w:ascii="Calibri" w:hAnsi="Calibri" w:cs="Calibri"/>
        </w:rPr>
      </w:pPr>
      <w:r w:rsidRPr="002436B1">
        <w:rPr>
          <w:rFonts w:ascii="Calibri" w:hAnsi="Calibri" w:cs="Calibri"/>
        </w:rPr>
        <w:t xml:space="preserve">Les </w:t>
      </w:r>
      <w:r w:rsidR="008264EC">
        <w:rPr>
          <w:rFonts w:ascii="Calibri" w:hAnsi="Calibri" w:cs="Calibri"/>
        </w:rPr>
        <w:t xml:space="preserve">autres dispositifs d’aide au recrutement - </w:t>
      </w:r>
      <w:r w:rsidR="00D812DB">
        <w:rPr>
          <w:rFonts w:ascii="Calibri" w:hAnsi="Calibri" w:cs="Calibri"/>
        </w:rPr>
        <w:t>p</w:t>
      </w:r>
      <w:r w:rsidRPr="002436B1">
        <w:rPr>
          <w:rFonts w:ascii="Calibri" w:hAnsi="Calibri" w:cs="Calibri"/>
        </w:rPr>
        <w:t xml:space="preserve">réparations </w:t>
      </w:r>
      <w:r w:rsidR="00D812DB">
        <w:rPr>
          <w:rFonts w:ascii="Calibri" w:hAnsi="Calibri" w:cs="Calibri"/>
        </w:rPr>
        <w:t>o</w:t>
      </w:r>
      <w:r w:rsidRPr="002436B1">
        <w:rPr>
          <w:rFonts w:ascii="Calibri" w:hAnsi="Calibri" w:cs="Calibri"/>
        </w:rPr>
        <w:t>pérationnelles à l’</w:t>
      </w:r>
      <w:r w:rsidR="00D812DB">
        <w:rPr>
          <w:rFonts w:ascii="Calibri" w:hAnsi="Calibri" w:cs="Calibri"/>
        </w:rPr>
        <w:t>e</w:t>
      </w:r>
      <w:r w:rsidRPr="002436B1">
        <w:rPr>
          <w:rFonts w:ascii="Calibri" w:hAnsi="Calibri" w:cs="Calibri"/>
        </w:rPr>
        <w:t xml:space="preserve">mploi (POE), </w:t>
      </w:r>
      <w:r w:rsidR="006223AF">
        <w:rPr>
          <w:rFonts w:ascii="Calibri" w:hAnsi="Calibri" w:cs="Calibri"/>
        </w:rPr>
        <w:t xml:space="preserve">actions de </w:t>
      </w:r>
      <w:r w:rsidRPr="002436B1">
        <w:rPr>
          <w:rFonts w:ascii="Calibri" w:hAnsi="Calibri" w:cs="Calibri"/>
        </w:rPr>
        <w:t xml:space="preserve">formations préalables au recrutement (AFPR), </w:t>
      </w:r>
      <w:r w:rsidR="008264EC">
        <w:rPr>
          <w:rFonts w:ascii="Calibri" w:hAnsi="Calibri" w:cs="Calibri"/>
        </w:rPr>
        <w:t>contrat d’insertion, CDD senior, contrat de génération, emploi d’avenir…</w:t>
      </w:r>
      <w:r w:rsidR="00D812DB">
        <w:rPr>
          <w:rFonts w:ascii="Calibri" w:hAnsi="Calibri" w:cs="Calibri"/>
        </w:rPr>
        <w:t xml:space="preserve"> - </w:t>
      </w:r>
      <w:r w:rsidR="008264EC">
        <w:rPr>
          <w:rFonts w:ascii="Calibri" w:hAnsi="Calibri" w:cs="Calibri"/>
        </w:rPr>
        <w:t>ont</w:t>
      </w:r>
      <w:r w:rsidR="00E92B38">
        <w:rPr>
          <w:rFonts w:ascii="Calibri" w:hAnsi="Calibri" w:cs="Calibri"/>
        </w:rPr>
        <w:t xml:space="preserve"> chacun</w:t>
      </w:r>
      <w:r w:rsidR="008264EC">
        <w:rPr>
          <w:rFonts w:ascii="Calibri" w:hAnsi="Calibri" w:cs="Calibri"/>
        </w:rPr>
        <w:t xml:space="preserve"> été mobilisés par moins de 3% des recruteurs</w:t>
      </w:r>
      <w:r w:rsidR="00D812DB">
        <w:rPr>
          <w:rFonts w:ascii="Calibri" w:hAnsi="Calibri" w:cs="Calibri"/>
        </w:rPr>
        <w:t xml:space="preserve"> pour du personnel logistique</w:t>
      </w:r>
      <w:r w:rsidR="008264EC">
        <w:rPr>
          <w:rFonts w:ascii="Calibri" w:hAnsi="Calibri" w:cs="Calibri"/>
        </w:rPr>
        <w:t xml:space="preserve">. </w:t>
      </w:r>
    </w:p>
    <w:p w:rsidR="002B1371" w:rsidRDefault="002B1371" w:rsidP="002B1371">
      <w:pPr>
        <w:rPr>
          <w:rFonts w:ascii="Calibri" w:hAnsi="Calibri" w:cs="Calibri"/>
        </w:rPr>
      </w:pPr>
    </w:p>
    <w:p w:rsidR="006223AF" w:rsidRDefault="006223AF" w:rsidP="002B1371">
      <w:pPr>
        <w:rPr>
          <w:rFonts w:ascii="Calibri" w:hAnsi="Calibri" w:cs="Calibri"/>
        </w:rPr>
      </w:pPr>
    </w:p>
    <w:p w:rsidR="006223AF" w:rsidRPr="002436B1" w:rsidRDefault="006223AF" w:rsidP="002B1371">
      <w:pPr>
        <w:rPr>
          <w:rFonts w:ascii="Calibri" w:hAnsi="Calibri" w:cs="Calibri"/>
        </w:rPr>
      </w:pPr>
    </w:p>
    <w:p w:rsidR="008264EC" w:rsidRDefault="008264EC">
      <w:pPr>
        <w:rPr>
          <w:rFonts w:ascii="Arial Black" w:hAnsi="Arial Black" w:cs="Calibri"/>
          <w:b/>
          <w:bCs/>
          <w:color w:val="632423"/>
        </w:rPr>
      </w:pPr>
      <w:r>
        <w:rPr>
          <w:rFonts w:ascii="Arial Black" w:hAnsi="Arial Black" w:cs="Calibri"/>
          <w:b/>
          <w:bCs/>
          <w:color w:val="632423"/>
        </w:rPr>
        <w:br w:type="page"/>
      </w:r>
    </w:p>
    <w:p w:rsidR="002B1371" w:rsidRPr="00AF11F6" w:rsidRDefault="00A8155C" w:rsidP="002B1371">
      <w:pPr>
        <w:rPr>
          <w:rFonts w:ascii="Arial Black" w:hAnsi="Arial Black" w:cs="Calibri"/>
          <w:b/>
          <w:bCs/>
          <w:color w:val="632423"/>
        </w:rPr>
      </w:pPr>
      <w:r>
        <w:rPr>
          <w:rFonts w:ascii="Arial Black" w:hAnsi="Arial Black" w:cs="Calibri"/>
          <w:b/>
          <w:bCs/>
          <w:color w:val="632423"/>
        </w:rPr>
        <w:t>Un recruteur sur quatre a embauché des techniciens/agents de maîtrise à l’issue d’un contrat d’apprentissage</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Voies de recrutement internes en CDD ou CDI</w:t>
      </w:r>
      <w:r w:rsidR="00E7624F">
        <w:rPr>
          <w:rFonts w:ascii="Calibri" w:hAnsi="Calibri" w:cs="Calibri"/>
          <w:b/>
          <w:bCs/>
        </w:rPr>
        <w:t xml:space="preserve"> </w:t>
      </w:r>
      <w:r w:rsidRPr="002436B1">
        <w:rPr>
          <w:rFonts w:ascii="Calibri" w:hAnsi="Calibri" w:cs="Calibri"/>
          <w:b/>
          <w:bCs/>
        </w:rPr>
        <w:t xml:space="preserve">(en </w:t>
      </w:r>
      <w:r w:rsidR="00E7624F">
        <w:rPr>
          <w:rFonts w:ascii="Calibri" w:hAnsi="Calibri" w:cs="Calibri"/>
          <w:b/>
          <w:bCs/>
        </w:rPr>
        <w:t>%</w:t>
      </w:r>
      <w:r w:rsidRPr="002436B1">
        <w:rPr>
          <w:rFonts w:ascii="Calibri" w:hAnsi="Calibri" w:cs="Calibri"/>
          <w:b/>
          <w:bCs/>
        </w:rPr>
        <w:t xml:space="preserve"> d’établissements ayant recruté dans la catégorie d’emploi)</w:t>
      </w:r>
    </w:p>
    <w:p w:rsidR="002B1371" w:rsidRPr="002436B1" w:rsidRDefault="002B1371" w:rsidP="002B1371">
      <w:pPr>
        <w:rPr>
          <w:rFonts w:ascii="Calibri" w:hAnsi="Calibri" w:cs="Calibri"/>
        </w:rPr>
      </w:pPr>
    </w:p>
    <w:tbl>
      <w:tblPr>
        <w:tblStyle w:val="Listemoyenne1-Accent3"/>
        <w:tblW w:w="3053" w:type="pct"/>
        <w:jc w:val="center"/>
        <w:tblLook w:val="04A0" w:firstRow="1" w:lastRow="0" w:firstColumn="1" w:lastColumn="0" w:noHBand="0" w:noVBand="1"/>
      </w:tblPr>
      <w:tblGrid>
        <w:gridCol w:w="3286"/>
        <w:gridCol w:w="1975"/>
        <w:gridCol w:w="1975"/>
        <w:gridCol w:w="1965"/>
      </w:tblGrid>
      <w:tr w:rsidR="00A8155C" w:rsidRPr="000B671D" w:rsidTr="00A8155C">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786" w:type="pct"/>
            <w:tcBorders>
              <w:top w:val="single" w:sz="8" w:space="0" w:color="9BBB59" w:themeColor="accent3"/>
            </w:tcBorders>
            <w:noWrap/>
          </w:tcPr>
          <w:p w:rsidR="00A8155C" w:rsidRPr="000B671D" w:rsidRDefault="00A8155C" w:rsidP="00F3284E">
            <w:pPr>
              <w:rPr>
                <w:rFonts w:ascii="Calibri" w:hAnsi="Calibri" w:cs="Calibri"/>
                <w:b w:val="0"/>
                <w:bCs w:val="0"/>
                <w:sz w:val="20"/>
                <w:szCs w:val="20"/>
              </w:rPr>
            </w:pPr>
          </w:p>
        </w:tc>
        <w:tc>
          <w:tcPr>
            <w:tcW w:w="1073" w:type="pct"/>
            <w:tcBorders>
              <w:top w:val="single" w:sz="8" w:space="0" w:color="9BBB59" w:themeColor="accent3"/>
            </w:tcBorders>
            <w:noWrap/>
          </w:tcPr>
          <w:p w:rsidR="00A8155C" w:rsidRPr="000B671D" w:rsidRDefault="00A8155C"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0B671D">
              <w:rPr>
                <w:rFonts w:ascii="Calibri" w:hAnsi="Calibri" w:cs="Calibri"/>
                <w:bCs/>
                <w:sz w:val="20"/>
                <w:szCs w:val="20"/>
              </w:rPr>
              <w:t>Cadres</w:t>
            </w:r>
          </w:p>
        </w:tc>
        <w:tc>
          <w:tcPr>
            <w:tcW w:w="1073" w:type="pct"/>
            <w:tcBorders>
              <w:top w:val="single" w:sz="8" w:space="0" w:color="9BBB59" w:themeColor="accent3"/>
            </w:tcBorders>
          </w:tcPr>
          <w:p w:rsidR="00A8155C" w:rsidRPr="000B671D" w:rsidRDefault="00A8155C"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0B671D">
              <w:rPr>
                <w:rFonts w:ascii="Calibri" w:hAnsi="Calibri" w:cs="Calibri"/>
                <w:bCs/>
                <w:sz w:val="20"/>
                <w:szCs w:val="20"/>
              </w:rPr>
              <w:t>Techniciens/</w:t>
            </w:r>
          </w:p>
          <w:p w:rsidR="00A8155C" w:rsidRPr="000B671D" w:rsidRDefault="00A8155C"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0B671D">
              <w:rPr>
                <w:rFonts w:ascii="Calibri" w:hAnsi="Calibri" w:cs="Calibri"/>
                <w:bCs/>
                <w:sz w:val="20"/>
                <w:szCs w:val="20"/>
              </w:rPr>
              <w:t>Agent de maîtrise</w:t>
            </w:r>
          </w:p>
        </w:tc>
        <w:tc>
          <w:tcPr>
            <w:tcW w:w="1069" w:type="pct"/>
            <w:tcBorders>
              <w:top w:val="single" w:sz="8" w:space="0" w:color="9BBB59" w:themeColor="accent3"/>
            </w:tcBorders>
          </w:tcPr>
          <w:p w:rsidR="00A8155C" w:rsidRPr="000B671D" w:rsidRDefault="00A8155C" w:rsidP="00F328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0B671D">
              <w:rPr>
                <w:rFonts w:ascii="Calibri" w:hAnsi="Calibri" w:cs="Calibri"/>
                <w:bCs/>
                <w:sz w:val="20"/>
                <w:szCs w:val="20"/>
              </w:rPr>
              <w:t>Opérateurs</w:t>
            </w:r>
          </w:p>
        </w:tc>
      </w:tr>
      <w:tr w:rsidR="00A8155C" w:rsidRPr="000B671D" w:rsidTr="00B41DC8">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786" w:type="pct"/>
            <w:noWrap/>
          </w:tcPr>
          <w:p w:rsidR="00A8155C" w:rsidRPr="000B671D" w:rsidRDefault="00A8155C" w:rsidP="00F3284E">
            <w:pPr>
              <w:rPr>
                <w:rFonts w:ascii="Calibri" w:hAnsi="Calibri" w:cs="Calibri"/>
                <w:b w:val="0"/>
                <w:bCs w:val="0"/>
                <w:sz w:val="20"/>
                <w:szCs w:val="20"/>
              </w:rPr>
            </w:pPr>
            <w:r w:rsidRPr="000B671D">
              <w:rPr>
                <w:rFonts w:ascii="Calibri" w:hAnsi="Calibri" w:cs="Calibri"/>
                <w:b w:val="0"/>
                <w:bCs w:val="0"/>
                <w:sz w:val="20"/>
                <w:szCs w:val="20"/>
              </w:rPr>
              <w:t>Stage étudiant</w:t>
            </w:r>
          </w:p>
        </w:tc>
        <w:tc>
          <w:tcPr>
            <w:tcW w:w="1073" w:type="pct"/>
            <w:vAlign w:val="center"/>
          </w:tcPr>
          <w:p w:rsidR="00A8155C" w:rsidRPr="00B41DC8" w:rsidRDefault="00A8155C"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8%</w:t>
            </w:r>
          </w:p>
        </w:tc>
        <w:tc>
          <w:tcPr>
            <w:tcW w:w="1073" w:type="pct"/>
            <w:vAlign w:val="center"/>
          </w:tcPr>
          <w:p w:rsidR="00A8155C" w:rsidRPr="00B41DC8" w:rsidRDefault="00A8155C"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10%</w:t>
            </w:r>
          </w:p>
        </w:tc>
        <w:tc>
          <w:tcPr>
            <w:tcW w:w="1069" w:type="pct"/>
            <w:vAlign w:val="center"/>
          </w:tcPr>
          <w:p w:rsidR="00A8155C" w:rsidRPr="00B41DC8" w:rsidRDefault="00A8155C"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2%</w:t>
            </w:r>
          </w:p>
        </w:tc>
      </w:tr>
      <w:tr w:rsidR="00A8155C" w:rsidRPr="000B671D" w:rsidTr="00B41DC8">
        <w:trPr>
          <w:trHeight w:val="225"/>
          <w:jc w:val="center"/>
        </w:trPr>
        <w:tc>
          <w:tcPr>
            <w:cnfStyle w:val="001000000000" w:firstRow="0" w:lastRow="0" w:firstColumn="1" w:lastColumn="0" w:oddVBand="0" w:evenVBand="0" w:oddHBand="0" w:evenHBand="0" w:firstRowFirstColumn="0" w:firstRowLastColumn="0" w:lastRowFirstColumn="0" w:lastRowLastColumn="0"/>
            <w:tcW w:w="1786" w:type="pct"/>
            <w:noWrap/>
          </w:tcPr>
          <w:p w:rsidR="00A8155C" w:rsidRPr="000B671D" w:rsidRDefault="00A8155C" w:rsidP="00F3284E">
            <w:pPr>
              <w:rPr>
                <w:rFonts w:ascii="Calibri" w:hAnsi="Calibri" w:cs="Calibri"/>
                <w:b w:val="0"/>
                <w:bCs w:val="0"/>
                <w:sz w:val="20"/>
                <w:szCs w:val="20"/>
              </w:rPr>
            </w:pPr>
            <w:r w:rsidRPr="000B671D">
              <w:rPr>
                <w:rFonts w:ascii="Calibri" w:hAnsi="Calibri" w:cs="Calibri"/>
                <w:b w:val="0"/>
                <w:bCs w:val="0"/>
                <w:sz w:val="20"/>
                <w:szCs w:val="20"/>
              </w:rPr>
              <w:t>Contrat d’apprentissage</w:t>
            </w:r>
          </w:p>
        </w:tc>
        <w:tc>
          <w:tcPr>
            <w:tcW w:w="1073" w:type="pct"/>
            <w:vAlign w:val="center"/>
          </w:tcPr>
          <w:p w:rsidR="00A8155C" w:rsidRPr="00B41DC8" w:rsidRDefault="00A8155C"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4%</w:t>
            </w:r>
          </w:p>
        </w:tc>
        <w:tc>
          <w:tcPr>
            <w:tcW w:w="1073" w:type="pct"/>
            <w:vAlign w:val="center"/>
          </w:tcPr>
          <w:p w:rsidR="00A8155C" w:rsidRPr="00B41DC8" w:rsidRDefault="00A8155C"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25%</w:t>
            </w:r>
          </w:p>
        </w:tc>
        <w:tc>
          <w:tcPr>
            <w:tcW w:w="1069" w:type="pct"/>
            <w:vAlign w:val="center"/>
          </w:tcPr>
          <w:p w:rsidR="00A8155C" w:rsidRPr="00B41DC8" w:rsidRDefault="00A8155C"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3%</w:t>
            </w:r>
          </w:p>
        </w:tc>
      </w:tr>
      <w:tr w:rsidR="00A8155C" w:rsidRPr="000B671D" w:rsidTr="00B41DC8">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786" w:type="pct"/>
            <w:noWrap/>
          </w:tcPr>
          <w:p w:rsidR="00A8155C" w:rsidRPr="000B671D" w:rsidRDefault="00A8155C" w:rsidP="00F3284E">
            <w:pPr>
              <w:rPr>
                <w:rFonts w:ascii="Calibri" w:hAnsi="Calibri" w:cs="Calibri"/>
                <w:b w:val="0"/>
                <w:bCs w:val="0"/>
                <w:sz w:val="20"/>
                <w:szCs w:val="20"/>
              </w:rPr>
            </w:pPr>
            <w:r w:rsidRPr="000B671D">
              <w:rPr>
                <w:rFonts w:ascii="Calibri" w:hAnsi="Calibri" w:cs="Calibri"/>
                <w:b w:val="0"/>
                <w:bCs w:val="0"/>
                <w:sz w:val="20"/>
                <w:szCs w:val="20"/>
              </w:rPr>
              <w:t>Contrat de professionnalisation</w:t>
            </w:r>
          </w:p>
        </w:tc>
        <w:tc>
          <w:tcPr>
            <w:tcW w:w="1073" w:type="pct"/>
            <w:vAlign w:val="center"/>
          </w:tcPr>
          <w:p w:rsidR="00A8155C" w:rsidRPr="00B41DC8" w:rsidRDefault="00A8155C"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2%</w:t>
            </w:r>
          </w:p>
        </w:tc>
        <w:tc>
          <w:tcPr>
            <w:tcW w:w="1073" w:type="pct"/>
            <w:vAlign w:val="center"/>
          </w:tcPr>
          <w:p w:rsidR="00A8155C" w:rsidRPr="00B41DC8" w:rsidRDefault="00A8155C"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5%</w:t>
            </w:r>
          </w:p>
        </w:tc>
        <w:tc>
          <w:tcPr>
            <w:tcW w:w="1069" w:type="pct"/>
            <w:vAlign w:val="center"/>
          </w:tcPr>
          <w:p w:rsidR="00A8155C" w:rsidRPr="00B41DC8" w:rsidRDefault="00A8155C"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16"/>
              </w:rPr>
            </w:pPr>
            <w:r w:rsidRPr="00B41DC8">
              <w:rPr>
                <w:rFonts w:ascii="Calibri" w:hAnsi="Calibri" w:cs="Calibri"/>
                <w:color w:val="000000"/>
                <w:sz w:val="20"/>
                <w:szCs w:val="16"/>
              </w:rPr>
              <w:t>3%</w:t>
            </w:r>
          </w:p>
        </w:tc>
      </w:tr>
    </w:tbl>
    <w:p w:rsidR="002B1371" w:rsidRDefault="002B1371" w:rsidP="002B1371">
      <w:pPr>
        <w:ind w:right="-234"/>
        <w:jc w:val="both"/>
        <w:rPr>
          <w:rFonts w:ascii="Calibri" w:hAnsi="Calibri" w:cs="Calibri"/>
        </w:rPr>
      </w:pPr>
    </w:p>
    <w:p w:rsidR="00ED2962" w:rsidRDefault="00A8155C" w:rsidP="002B1371">
      <w:pPr>
        <w:ind w:right="-234"/>
        <w:jc w:val="both"/>
        <w:rPr>
          <w:rFonts w:ascii="Calibri" w:hAnsi="Calibri" w:cs="Calibri"/>
        </w:rPr>
      </w:pPr>
      <w:r>
        <w:rPr>
          <w:rFonts w:ascii="Calibri" w:hAnsi="Calibri" w:cs="Calibri"/>
        </w:rPr>
        <w:t>Le contrat d’apprentissage s’avère être un réel tremplin vers un emploi en CDD ou CDI pour les postes de techniciens/agents de maîtrise</w:t>
      </w:r>
      <w:r w:rsidR="004A35C2">
        <w:rPr>
          <w:rFonts w:ascii="Calibri" w:hAnsi="Calibri" w:cs="Calibri"/>
        </w:rPr>
        <w:t xml:space="preserve"> en logistique</w:t>
      </w:r>
      <w:r>
        <w:rPr>
          <w:rFonts w:ascii="Calibri" w:hAnsi="Calibri" w:cs="Calibri"/>
        </w:rPr>
        <w:t xml:space="preserve">. En effet, en 2014, 25% des recruteurs de techniciens/agents de maîtrise </w:t>
      </w:r>
      <w:r w:rsidR="004A35C2">
        <w:rPr>
          <w:rFonts w:ascii="Calibri" w:hAnsi="Calibri" w:cs="Calibri"/>
        </w:rPr>
        <w:t xml:space="preserve">ont été amenés à recruter en CDD ou CDI des jeunes qu’ils avaient </w:t>
      </w:r>
      <w:r w:rsidR="000F231A">
        <w:rPr>
          <w:rFonts w:ascii="Calibri" w:hAnsi="Calibri" w:cs="Calibri"/>
        </w:rPr>
        <w:t>précédemment accueillis en contrat</w:t>
      </w:r>
      <w:r w:rsidR="004A35C2">
        <w:rPr>
          <w:rFonts w:ascii="Calibri" w:hAnsi="Calibri" w:cs="Calibri"/>
        </w:rPr>
        <w:t xml:space="preserve"> d’apprentissage. </w:t>
      </w:r>
    </w:p>
    <w:p w:rsidR="00ED2962" w:rsidRDefault="00ED2962" w:rsidP="002B1371">
      <w:pPr>
        <w:ind w:right="-234"/>
        <w:jc w:val="both"/>
        <w:rPr>
          <w:rFonts w:ascii="Calibri" w:hAnsi="Calibri" w:cs="Calibri"/>
        </w:rPr>
      </w:pPr>
    </w:p>
    <w:p w:rsidR="00ED2962" w:rsidRPr="002436B1" w:rsidRDefault="00ED2962" w:rsidP="002B1371">
      <w:pPr>
        <w:ind w:right="-234"/>
        <w:jc w:val="both"/>
        <w:rPr>
          <w:rFonts w:ascii="Calibri" w:hAnsi="Calibri" w:cs="Calibri"/>
        </w:rPr>
      </w:pPr>
    </w:p>
    <w:p w:rsidR="002B1371" w:rsidRPr="00AF11F6" w:rsidRDefault="001E5837" w:rsidP="000B671D">
      <w:pPr>
        <w:rPr>
          <w:rFonts w:ascii="Arial Black" w:hAnsi="Arial Black" w:cs="Calibri"/>
          <w:b/>
          <w:bCs/>
          <w:color w:val="632423"/>
        </w:rPr>
      </w:pPr>
      <w:r>
        <w:rPr>
          <w:rFonts w:ascii="Arial Black" w:hAnsi="Arial Black" w:cs="Calibri"/>
          <w:b/>
          <w:bCs/>
          <w:color w:val="632423"/>
        </w:rPr>
        <w:t>Les techniciens et agents de maîtrise doivent pouvoir justifier d’une formation spécifique à la logistique au moment de leur recrutement</w:t>
      </w:r>
    </w:p>
    <w:p w:rsidR="002B1371" w:rsidRPr="002436B1" w:rsidRDefault="002B1371" w:rsidP="002B1371">
      <w:pPr>
        <w:rPr>
          <w:rFonts w:ascii="Calibri" w:hAnsi="Calibri" w:cs="Calibri"/>
          <w:sz w:val="16"/>
          <w:szCs w:val="16"/>
        </w:rPr>
      </w:pPr>
    </w:p>
    <w:p w:rsidR="002B1371" w:rsidRPr="002436B1" w:rsidRDefault="002B1371" w:rsidP="002B1371">
      <w:pPr>
        <w:jc w:val="center"/>
        <w:rPr>
          <w:rFonts w:ascii="Calibri" w:hAnsi="Calibri" w:cs="Calibri"/>
          <w:b/>
        </w:rPr>
      </w:pPr>
      <w:r w:rsidRPr="002436B1">
        <w:rPr>
          <w:rFonts w:ascii="Calibri" w:hAnsi="Calibri" w:cs="Calibri"/>
          <w:b/>
        </w:rPr>
        <w:t>Critères de recrutement pour le personnel logistique (en % de répondants)</w:t>
      </w:r>
    </w:p>
    <w:p w:rsidR="002B1371" w:rsidRPr="002436B1" w:rsidRDefault="002B1371" w:rsidP="002B1371">
      <w:pPr>
        <w:rPr>
          <w:rFonts w:ascii="Calibri" w:hAnsi="Calibri" w:cs="Calibri"/>
          <w:sz w:val="16"/>
          <w:szCs w:val="16"/>
        </w:rPr>
      </w:pPr>
    </w:p>
    <w:p w:rsidR="002B1371" w:rsidRPr="000B671D" w:rsidRDefault="000B671D" w:rsidP="002B1371">
      <w:pPr>
        <w:rPr>
          <w:rFonts w:ascii="Calibri" w:hAnsi="Calibri" w:cs="Calibri"/>
          <w:i/>
          <w:iCs/>
          <w:sz w:val="20"/>
        </w:rPr>
      </w:pPr>
      <w:r>
        <w:rPr>
          <w:rFonts w:ascii="Calibri" w:hAnsi="Calibri" w:cs="Calibri"/>
          <w:i/>
          <w:iCs/>
          <w:sz w:val="20"/>
        </w:rPr>
        <w:t xml:space="preserve">                                                                                            </w:t>
      </w:r>
      <w:r w:rsidR="002B1371" w:rsidRPr="000B671D">
        <w:rPr>
          <w:rFonts w:ascii="Calibri" w:hAnsi="Calibri" w:cs="Calibri"/>
          <w:i/>
          <w:iCs/>
          <w:sz w:val="20"/>
        </w:rPr>
        <w:t>Etablissements de 100 salariés et plus</w:t>
      </w:r>
      <w:r w:rsidRPr="000B671D">
        <w:rPr>
          <w:rFonts w:ascii="Calibri" w:hAnsi="Calibri" w:cs="Calibri"/>
          <w:i/>
          <w:iCs/>
        </w:rPr>
        <w:t xml:space="preserve"> </w:t>
      </w:r>
      <w:r>
        <w:rPr>
          <w:rFonts w:ascii="Calibri" w:hAnsi="Calibri" w:cs="Calibri"/>
          <w:i/>
          <w:iCs/>
        </w:rPr>
        <w:t xml:space="preserve">                                        </w:t>
      </w:r>
      <w:r w:rsidR="00A257C6">
        <w:rPr>
          <w:rFonts w:ascii="Calibri" w:hAnsi="Calibri" w:cs="Calibri"/>
          <w:i/>
          <w:iCs/>
        </w:rPr>
        <w:t xml:space="preserve">           </w:t>
      </w:r>
      <w:r w:rsidRPr="000B671D">
        <w:rPr>
          <w:rFonts w:ascii="Calibri" w:hAnsi="Calibri" w:cs="Calibri"/>
          <w:i/>
          <w:iCs/>
          <w:sz w:val="20"/>
        </w:rPr>
        <w:t>Etablissements de 50 à 99 salariés</w:t>
      </w:r>
    </w:p>
    <w:tbl>
      <w:tblPr>
        <w:tblStyle w:val="Listemoyenne1-Accent3"/>
        <w:tblW w:w="0" w:type="auto"/>
        <w:tblLayout w:type="fixed"/>
        <w:tblLook w:val="04A0" w:firstRow="1" w:lastRow="0" w:firstColumn="1" w:lastColumn="0" w:noHBand="0" w:noVBand="1"/>
      </w:tblPr>
      <w:tblGrid>
        <w:gridCol w:w="3652"/>
        <w:gridCol w:w="1744"/>
        <w:gridCol w:w="1848"/>
        <w:gridCol w:w="1746"/>
        <w:gridCol w:w="528"/>
        <w:gridCol w:w="1746"/>
        <w:gridCol w:w="1746"/>
        <w:gridCol w:w="1746"/>
      </w:tblGrid>
      <w:tr w:rsidR="000B671D" w:rsidRPr="000B671D" w:rsidTr="0010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9BBB59" w:themeColor="accent3"/>
            </w:tcBorders>
          </w:tcPr>
          <w:p w:rsidR="000B671D" w:rsidRPr="000B671D" w:rsidRDefault="000B671D" w:rsidP="00F3284E">
            <w:pPr>
              <w:rPr>
                <w:rFonts w:asciiTheme="minorHAnsi" w:hAnsiTheme="minorHAnsi" w:cstheme="minorHAnsi"/>
                <w:b w:val="0"/>
                <w:sz w:val="20"/>
                <w:szCs w:val="20"/>
              </w:rPr>
            </w:pPr>
          </w:p>
        </w:tc>
        <w:tc>
          <w:tcPr>
            <w:tcW w:w="1744" w:type="dxa"/>
            <w:tcBorders>
              <w:top w:val="single" w:sz="8" w:space="0" w:color="9BBB59" w:themeColor="accent3"/>
            </w:tcBorders>
          </w:tcPr>
          <w:p w:rsidR="000B671D" w:rsidRPr="000B671D" w:rsidRDefault="000B671D"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671D">
              <w:rPr>
                <w:rFonts w:asciiTheme="minorHAnsi" w:hAnsiTheme="minorHAnsi" w:cstheme="minorHAnsi"/>
                <w:sz w:val="20"/>
                <w:szCs w:val="20"/>
              </w:rPr>
              <w:t>Cadres</w:t>
            </w:r>
          </w:p>
        </w:tc>
        <w:tc>
          <w:tcPr>
            <w:tcW w:w="1848" w:type="dxa"/>
            <w:tcBorders>
              <w:top w:val="single" w:sz="8" w:space="0" w:color="9BBB59" w:themeColor="accent3"/>
            </w:tcBorders>
          </w:tcPr>
          <w:p w:rsidR="000B671D" w:rsidRPr="000B671D" w:rsidRDefault="000B671D"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671D">
              <w:rPr>
                <w:rFonts w:asciiTheme="minorHAnsi" w:hAnsiTheme="minorHAnsi" w:cstheme="minorHAnsi"/>
                <w:sz w:val="20"/>
                <w:szCs w:val="20"/>
              </w:rPr>
              <w:t>Techniciens/ Agents de maîtrise</w:t>
            </w:r>
          </w:p>
        </w:tc>
        <w:tc>
          <w:tcPr>
            <w:tcW w:w="1746" w:type="dxa"/>
            <w:tcBorders>
              <w:top w:val="single" w:sz="8" w:space="0" w:color="9BBB59" w:themeColor="accent3"/>
            </w:tcBorders>
          </w:tcPr>
          <w:p w:rsidR="000B671D" w:rsidRPr="000B671D" w:rsidRDefault="000B671D"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671D">
              <w:rPr>
                <w:rFonts w:asciiTheme="minorHAnsi" w:hAnsiTheme="minorHAnsi" w:cstheme="minorHAnsi"/>
                <w:sz w:val="20"/>
                <w:szCs w:val="20"/>
              </w:rPr>
              <w:t>Opérateurs</w:t>
            </w:r>
          </w:p>
        </w:tc>
        <w:tc>
          <w:tcPr>
            <w:tcW w:w="528" w:type="dxa"/>
            <w:tcBorders>
              <w:bottom w:val="nil"/>
            </w:tcBorders>
            <w:shd w:val="clear" w:color="auto" w:fill="FFFFFF" w:themeFill="background1"/>
          </w:tcPr>
          <w:p w:rsidR="000B671D" w:rsidRPr="000B671D" w:rsidRDefault="000B671D"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6" w:type="dxa"/>
            <w:tcBorders>
              <w:top w:val="single" w:sz="8" w:space="0" w:color="9BBB59" w:themeColor="accent3"/>
            </w:tcBorders>
          </w:tcPr>
          <w:p w:rsidR="000B671D" w:rsidRPr="000B671D" w:rsidRDefault="000B671D" w:rsidP="00AF11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671D">
              <w:rPr>
                <w:rFonts w:asciiTheme="minorHAnsi" w:hAnsiTheme="minorHAnsi" w:cstheme="minorHAnsi"/>
                <w:sz w:val="20"/>
                <w:szCs w:val="20"/>
              </w:rPr>
              <w:t>Cadres</w:t>
            </w:r>
          </w:p>
        </w:tc>
        <w:tc>
          <w:tcPr>
            <w:tcW w:w="1746" w:type="dxa"/>
            <w:tcBorders>
              <w:top w:val="single" w:sz="8" w:space="0" w:color="9BBB59" w:themeColor="accent3"/>
            </w:tcBorders>
          </w:tcPr>
          <w:p w:rsidR="000B671D" w:rsidRPr="000B671D" w:rsidRDefault="000B671D" w:rsidP="00AF11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671D">
              <w:rPr>
                <w:rFonts w:asciiTheme="minorHAnsi" w:hAnsiTheme="minorHAnsi" w:cstheme="minorHAnsi"/>
                <w:sz w:val="20"/>
                <w:szCs w:val="20"/>
              </w:rPr>
              <w:t>Techniciens/ Agents de maîtrise</w:t>
            </w:r>
          </w:p>
        </w:tc>
        <w:tc>
          <w:tcPr>
            <w:tcW w:w="1746" w:type="dxa"/>
            <w:tcBorders>
              <w:top w:val="single" w:sz="8" w:space="0" w:color="9BBB59" w:themeColor="accent3"/>
            </w:tcBorders>
          </w:tcPr>
          <w:p w:rsidR="000B671D" w:rsidRPr="000B671D" w:rsidRDefault="000B671D" w:rsidP="00AF11F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671D">
              <w:rPr>
                <w:rFonts w:asciiTheme="minorHAnsi" w:hAnsiTheme="minorHAnsi" w:cstheme="minorHAnsi"/>
                <w:sz w:val="20"/>
                <w:szCs w:val="20"/>
              </w:rPr>
              <w:t>Opérateurs</w:t>
            </w:r>
          </w:p>
        </w:tc>
      </w:tr>
      <w:tr w:rsidR="000B671D" w:rsidRPr="000B671D" w:rsidTr="00102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671D" w:rsidRPr="000B671D" w:rsidRDefault="000B671D" w:rsidP="00F3284E">
            <w:pPr>
              <w:rPr>
                <w:rFonts w:asciiTheme="minorHAnsi" w:hAnsiTheme="minorHAnsi" w:cstheme="minorHAnsi"/>
                <w:b w:val="0"/>
                <w:sz w:val="20"/>
                <w:szCs w:val="20"/>
              </w:rPr>
            </w:pPr>
            <w:r w:rsidRPr="000B671D">
              <w:rPr>
                <w:rFonts w:asciiTheme="minorHAnsi" w:hAnsiTheme="minorHAnsi" w:cstheme="minorHAnsi"/>
                <w:b w:val="0"/>
                <w:sz w:val="20"/>
                <w:szCs w:val="20"/>
              </w:rPr>
              <w:t>Formations spécifiques à la logistique</w:t>
            </w:r>
          </w:p>
        </w:tc>
        <w:tc>
          <w:tcPr>
            <w:tcW w:w="1744" w:type="dxa"/>
          </w:tcPr>
          <w:p w:rsidR="000B671D" w:rsidRPr="000B671D" w:rsidRDefault="00CF7424" w:rsidP="002621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58%</w:t>
            </w:r>
          </w:p>
        </w:tc>
        <w:tc>
          <w:tcPr>
            <w:tcW w:w="1848" w:type="dxa"/>
          </w:tcPr>
          <w:p w:rsidR="000B671D" w:rsidRPr="000B671D" w:rsidRDefault="002621F4" w:rsidP="000B67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67%</w:t>
            </w:r>
          </w:p>
        </w:tc>
        <w:tc>
          <w:tcPr>
            <w:tcW w:w="1746" w:type="dxa"/>
          </w:tcPr>
          <w:p w:rsidR="000B671D" w:rsidRPr="000B671D" w:rsidRDefault="002621F4"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47%</w:t>
            </w:r>
          </w:p>
        </w:tc>
        <w:tc>
          <w:tcPr>
            <w:tcW w:w="528" w:type="dxa"/>
            <w:tcBorders>
              <w:top w:val="nil"/>
              <w:bottom w:val="nil"/>
            </w:tcBorders>
            <w:shd w:val="clear" w:color="auto" w:fill="FFFFFF" w:themeFill="background1"/>
          </w:tcPr>
          <w:p w:rsidR="000B671D" w:rsidRPr="000B671D" w:rsidRDefault="000B671D"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46" w:type="dxa"/>
          </w:tcPr>
          <w:p w:rsidR="000B671D" w:rsidRPr="000B671D" w:rsidRDefault="00CF7424" w:rsidP="00AF11F6">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0"/>
                <w:szCs w:val="20"/>
              </w:rPr>
            </w:pPr>
            <w:r>
              <w:rPr>
                <w:rFonts w:asciiTheme="minorHAnsi" w:eastAsiaTheme="majorEastAsia" w:hAnsiTheme="minorHAnsi" w:cstheme="minorHAnsi"/>
                <w:sz w:val="20"/>
                <w:szCs w:val="20"/>
              </w:rPr>
              <w:t>41%</w:t>
            </w:r>
          </w:p>
        </w:tc>
        <w:tc>
          <w:tcPr>
            <w:tcW w:w="1746" w:type="dxa"/>
          </w:tcPr>
          <w:p w:rsidR="000B671D" w:rsidRPr="000B671D" w:rsidRDefault="00CF7424" w:rsidP="00AF11F6">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0"/>
                <w:szCs w:val="20"/>
              </w:rPr>
            </w:pPr>
            <w:r>
              <w:rPr>
                <w:rFonts w:asciiTheme="minorHAnsi" w:eastAsiaTheme="majorEastAsia" w:hAnsiTheme="minorHAnsi" w:cstheme="minorHAnsi"/>
                <w:sz w:val="20"/>
                <w:szCs w:val="20"/>
              </w:rPr>
              <w:t>51%</w:t>
            </w:r>
          </w:p>
        </w:tc>
        <w:tc>
          <w:tcPr>
            <w:tcW w:w="1746" w:type="dxa"/>
          </w:tcPr>
          <w:p w:rsidR="000B671D" w:rsidRPr="000B671D" w:rsidRDefault="00CF7424" w:rsidP="00AF11F6">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0"/>
                <w:szCs w:val="20"/>
              </w:rPr>
            </w:pPr>
            <w:r>
              <w:rPr>
                <w:rFonts w:asciiTheme="minorHAnsi" w:eastAsiaTheme="majorEastAsia" w:hAnsiTheme="minorHAnsi" w:cstheme="minorHAnsi"/>
                <w:sz w:val="20"/>
                <w:szCs w:val="20"/>
              </w:rPr>
              <w:t>38%</w:t>
            </w:r>
          </w:p>
        </w:tc>
      </w:tr>
      <w:tr w:rsidR="00CF7424" w:rsidRPr="000B671D" w:rsidTr="00CF7424">
        <w:trPr>
          <w:trHeight w:val="225"/>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 xml:space="preserve">L'expérience </w:t>
            </w:r>
          </w:p>
        </w:tc>
        <w:tc>
          <w:tcPr>
            <w:tcW w:w="1744"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53%</w:t>
            </w:r>
          </w:p>
        </w:tc>
        <w:tc>
          <w:tcPr>
            <w:tcW w:w="1848"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59%</w:t>
            </w:r>
          </w:p>
        </w:tc>
        <w:tc>
          <w:tcPr>
            <w:tcW w:w="1746"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56%</w:t>
            </w:r>
          </w:p>
        </w:tc>
        <w:tc>
          <w:tcPr>
            <w:tcW w:w="528" w:type="dxa"/>
            <w:tcBorders>
              <w:top w:val="nil"/>
              <w:bottom w:val="nil"/>
            </w:tcBorders>
            <w:shd w:val="clear" w:color="auto" w:fill="FFFFFF" w:themeFill="background1"/>
          </w:tcPr>
          <w:p w:rsidR="00CF7424" w:rsidRPr="000B671D" w:rsidRDefault="00CF7424" w:rsidP="00F328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48%</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56%</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43%</w:t>
            </w:r>
          </w:p>
        </w:tc>
      </w:tr>
      <w:tr w:rsidR="00CF7424" w:rsidRPr="000B671D" w:rsidTr="00CF742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 xml:space="preserve">La motivation </w:t>
            </w:r>
          </w:p>
        </w:tc>
        <w:tc>
          <w:tcPr>
            <w:tcW w:w="1744"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41%</w:t>
            </w:r>
          </w:p>
        </w:tc>
        <w:tc>
          <w:tcPr>
            <w:tcW w:w="1848"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60%</w:t>
            </w:r>
          </w:p>
        </w:tc>
        <w:tc>
          <w:tcPr>
            <w:tcW w:w="1746"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65%</w:t>
            </w:r>
          </w:p>
        </w:tc>
        <w:tc>
          <w:tcPr>
            <w:tcW w:w="528" w:type="dxa"/>
            <w:tcBorders>
              <w:top w:val="nil"/>
              <w:bottom w:val="nil"/>
            </w:tcBorders>
            <w:shd w:val="clear" w:color="auto" w:fill="FFFFFF" w:themeFill="background1"/>
          </w:tcPr>
          <w:p w:rsidR="00CF7424" w:rsidRPr="000B671D" w:rsidRDefault="00CF7424"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35%</w:t>
            </w: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57%</w:t>
            </w: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63%</w:t>
            </w:r>
          </w:p>
        </w:tc>
      </w:tr>
      <w:tr w:rsidR="00CF7424" w:rsidRPr="000B671D" w:rsidTr="00CF7424">
        <w:trPr>
          <w:trHeight w:val="225"/>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La disponibilité</w:t>
            </w:r>
          </w:p>
        </w:tc>
        <w:tc>
          <w:tcPr>
            <w:tcW w:w="1744"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32%</w:t>
            </w:r>
          </w:p>
        </w:tc>
        <w:tc>
          <w:tcPr>
            <w:tcW w:w="1848"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41%</w:t>
            </w:r>
          </w:p>
        </w:tc>
        <w:tc>
          <w:tcPr>
            <w:tcW w:w="1746"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42%</w:t>
            </w:r>
          </w:p>
        </w:tc>
        <w:tc>
          <w:tcPr>
            <w:tcW w:w="528" w:type="dxa"/>
            <w:tcBorders>
              <w:top w:val="nil"/>
              <w:bottom w:val="nil"/>
            </w:tcBorders>
            <w:shd w:val="clear" w:color="auto" w:fill="FFFFFF" w:themeFill="background1"/>
          </w:tcPr>
          <w:p w:rsidR="00CF7424" w:rsidRPr="000B671D" w:rsidRDefault="00CF7424" w:rsidP="00F328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31%</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49%</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41%</w:t>
            </w:r>
          </w:p>
        </w:tc>
      </w:tr>
      <w:tr w:rsidR="00CF7424" w:rsidRPr="000B671D" w:rsidTr="00CF742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La proximité géographique</w:t>
            </w:r>
          </w:p>
        </w:tc>
        <w:tc>
          <w:tcPr>
            <w:tcW w:w="1744"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14%</w:t>
            </w:r>
          </w:p>
        </w:tc>
        <w:tc>
          <w:tcPr>
            <w:tcW w:w="1848"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20%</w:t>
            </w:r>
          </w:p>
        </w:tc>
        <w:tc>
          <w:tcPr>
            <w:tcW w:w="1746"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23%</w:t>
            </w:r>
          </w:p>
        </w:tc>
        <w:tc>
          <w:tcPr>
            <w:tcW w:w="528" w:type="dxa"/>
            <w:tcBorders>
              <w:top w:val="nil"/>
              <w:bottom w:val="nil"/>
            </w:tcBorders>
            <w:shd w:val="clear" w:color="auto" w:fill="FFFFFF" w:themeFill="background1"/>
          </w:tcPr>
          <w:p w:rsidR="00CF7424" w:rsidRPr="000B671D" w:rsidRDefault="00CF7424"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12%</w:t>
            </w: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17%</w:t>
            </w: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23%</w:t>
            </w:r>
          </w:p>
        </w:tc>
      </w:tr>
      <w:tr w:rsidR="00CF7424" w:rsidRPr="000B671D" w:rsidTr="00CF7424">
        <w:trPr>
          <w:trHeight w:val="225"/>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L'adaptabilité</w:t>
            </w:r>
          </w:p>
        </w:tc>
        <w:tc>
          <w:tcPr>
            <w:tcW w:w="1744"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31%</w:t>
            </w:r>
          </w:p>
        </w:tc>
        <w:tc>
          <w:tcPr>
            <w:tcW w:w="1848"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40%</w:t>
            </w:r>
          </w:p>
        </w:tc>
        <w:tc>
          <w:tcPr>
            <w:tcW w:w="1746"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39%</w:t>
            </w:r>
          </w:p>
        </w:tc>
        <w:tc>
          <w:tcPr>
            <w:tcW w:w="528" w:type="dxa"/>
            <w:tcBorders>
              <w:top w:val="nil"/>
              <w:bottom w:val="nil"/>
            </w:tcBorders>
            <w:shd w:val="clear" w:color="auto" w:fill="FFFFFF" w:themeFill="background1"/>
          </w:tcPr>
          <w:p w:rsidR="00CF7424" w:rsidRPr="000B671D" w:rsidRDefault="00CF7424" w:rsidP="00F328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29%</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52%</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47%</w:t>
            </w:r>
          </w:p>
        </w:tc>
      </w:tr>
      <w:tr w:rsidR="00CF7424" w:rsidRPr="000B671D" w:rsidTr="00CF742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Le "potentiel"</w:t>
            </w:r>
          </w:p>
        </w:tc>
        <w:tc>
          <w:tcPr>
            <w:tcW w:w="1744"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34%</w:t>
            </w:r>
          </w:p>
        </w:tc>
        <w:tc>
          <w:tcPr>
            <w:tcW w:w="1848"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47%</w:t>
            </w:r>
          </w:p>
        </w:tc>
        <w:tc>
          <w:tcPr>
            <w:tcW w:w="1746"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42%</w:t>
            </w:r>
          </w:p>
        </w:tc>
        <w:tc>
          <w:tcPr>
            <w:tcW w:w="528" w:type="dxa"/>
            <w:tcBorders>
              <w:top w:val="nil"/>
              <w:bottom w:val="nil"/>
            </w:tcBorders>
            <w:shd w:val="clear" w:color="auto" w:fill="FFFFFF" w:themeFill="background1"/>
          </w:tcPr>
          <w:p w:rsidR="00CF7424" w:rsidRPr="000B671D" w:rsidRDefault="00CF7424"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27%</w:t>
            </w: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46%</w:t>
            </w:r>
          </w:p>
        </w:tc>
        <w:tc>
          <w:tcPr>
            <w:tcW w:w="1746" w:type="dxa"/>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42%</w:t>
            </w:r>
          </w:p>
        </w:tc>
      </w:tr>
      <w:tr w:rsidR="00CF7424" w:rsidRPr="000B671D" w:rsidTr="00CF7424">
        <w:trPr>
          <w:trHeight w:val="230"/>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La détention du CACES</w:t>
            </w:r>
          </w:p>
        </w:tc>
        <w:tc>
          <w:tcPr>
            <w:tcW w:w="1744" w:type="dxa"/>
            <w:noWrap/>
            <w:vAlign w:val="bottom"/>
          </w:tcPr>
          <w:p w:rsidR="00CF7424" w:rsidRPr="00102DFB" w:rsidRDefault="00BF5C82"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w:t>
            </w:r>
          </w:p>
        </w:tc>
        <w:tc>
          <w:tcPr>
            <w:tcW w:w="1848"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24%</w:t>
            </w:r>
          </w:p>
        </w:tc>
        <w:tc>
          <w:tcPr>
            <w:tcW w:w="1746" w:type="dxa"/>
            <w:noWrap/>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60%</w:t>
            </w:r>
          </w:p>
        </w:tc>
        <w:tc>
          <w:tcPr>
            <w:tcW w:w="528" w:type="dxa"/>
            <w:tcBorders>
              <w:top w:val="nil"/>
              <w:bottom w:val="nil"/>
            </w:tcBorders>
            <w:shd w:val="clear" w:color="auto" w:fill="FFFFFF" w:themeFill="background1"/>
          </w:tcPr>
          <w:p w:rsidR="00CF7424" w:rsidRPr="000B671D" w:rsidRDefault="00CF7424" w:rsidP="00F328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6" w:type="dxa"/>
            <w:vAlign w:val="bottom"/>
          </w:tcPr>
          <w:p w:rsidR="00CF7424" w:rsidRPr="00102DFB" w:rsidRDefault="00102DFB"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32%</w:t>
            </w:r>
          </w:p>
        </w:tc>
        <w:tc>
          <w:tcPr>
            <w:tcW w:w="1746" w:type="dxa"/>
            <w:vAlign w:val="bottom"/>
          </w:tcPr>
          <w:p w:rsidR="00CF7424" w:rsidRPr="00102DFB" w:rsidRDefault="00CF7424" w:rsidP="00102D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68%</w:t>
            </w:r>
          </w:p>
        </w:tc>
      </w:tr>
      <w:tr w:rsidR="00CF7424" w:rsidRPr="000B671D" w:rsidTr="00CF742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652" w:type="dxa"/>
            <w:noWrap/>
          </w:tcPr>
          <w:p w:rsidR="00CF7424" w:rsidRPr="000B671D" w:rsidRDefault="00CF7424" w:rsidP="00F3284E">
            <w:pPr>
              <w:rPr>
                <w:rFonts w:asciiTheme="minorHAnsi" w:hAnsiTheme="minorHAnsi" w:cstheme="minorHAnsi"/>
                <w:b w:val="0"/>
                <w:sz w:val="20"/>
                <w:szCs w:val="20"/>
              </w:rPr>
            </w:pPr>
            <w:r w:rsidRPr="000B671D">
              <w:rPr>
                <w:rFonts w:asciiTheme="minorHAnsi" w:hAnsiTheme="minorHAnsi" w:cstheme="minorHAnsi"/>
                <w:b w:val="0"/>
                <w:sz w:val="20"/>
                <w:szCs w:val="20"/>
              </w:rPr>
              <w:t>Les langues étrangères</w:t>
            </w:r>
          </w:p>
        </w:tc>
        <w:tc>
          <w:tcPr>
            <w:tcW w:w="1744" w:type="dxa"/>
            <w:noWrap/>
            <w:vAlign w:val="bottom"/>
          </w:tcPr>
          <w:p w:rsidR="00CF7424" w:rsidRPr="00102DFB" w:rsidRDefault="00CF7424"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27%</w:t>
            </w:r>
          </w:p>
        </w:tc>
        <w:tc>
          <w:tcPr>
            <w:tcW w:w="1848" w:type="dxa"/>
            <w:noWrap/>
            <w:vAlign w:val="bottom"/>
          </w:tcPr>
          <w:p w:rsidR="00CF7424" w:rsidRPr="00102DFB" w:rsidRDefault="00BF5C82"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w:t>
            </w:r>
          </w:p>
        </w:tc>
        <w:tc>
          <w:tcPr>
            <w:tcW w:w="1746" w:type="dxa"/>
            <w:noWrap/>
            <w:vAlign w:val="bottom"/>
          </w:tcPr>
          <w:p w:rsidR="00CF7424" w:rsidRPr="00102DFB" w:rsidRDefault="00BF5C82"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w:t>
            </w:r>
          </w:p>
        </w:tc>
        <w:tc>
          <w:tcPr>
            <w:tcW w:w="528" w:type="dxa"/>
            <w:tcBorders>
              <w:top w:val="nil"/>
              <w:bottom w:val="nil"/>
            </w:tcBorders>
            <w:shd w:val="clear" w:color="auto" w:fill="FFFFFF" w:themeFill="background1"/>
          </w:tcPr>
          <w:p w:rsidR="00CF7424" w:rsidRPr="000B671D" w:rsidRDefault="00CF7424"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46" w:type="dxa"/>
          </w:tcPr>
          <w:p w:rsidR="00CF7424" w:rsidRPr="00102DFB" w:rsidRDefault="00CF7424"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02DFB">
              <w:rPr>
                <w:rFonts w:asciiTheme="minorHAnsi" w:hAnsiTheme="minorHAnsi" w:cstheme="minorHAnsi"/>
                <w:sz w:val="20"/>
                <w:szCs w:val="20"/>
              </w:rPr>
              <w:t>16%</w:t>
            </w:r>
          </w:p>
        </w:tc>
        <w:tc>
          <w:tcPr>
            <w:tcW w:w="1746" w:type="dxa"/>
          </w:tcPr>
          <w:p w:rsidR="00CF7424" w:rsidRPr="00102DFB" w:rsidRDefault="00102DFB"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1746" w:type="dxa"/>
            <w:vAlign w:val="bottom"/>
          </w:tcPr>
          <w:p w:rsidR="00CF7424" w:rsidRPr="00102DFB" w:rsidRDefault="00102DFB" w:rsidP="00102D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r>
    </w:tbl>
    <w:p w:rsidR="00102DFB" w:rsidRDefault="00102DFB" w:rsidP="002B1371">
      <w:pPr>
        <w:jc w:val="both"/>
        <w:rPr>
          <w:rFonts w:ascii="Calibri" w:hAnsi="Calibri" w:cs="Calibri"/>
        </w:rPr>
      </w:pPr>
    </w:p>
    <w:p w:rsidR="002B1371" w:rsidRDefault="00F246AB" w:rsidP="002B1371">
      <w:pPr>
        <w:jc w:val="both"/>
        <w:rPr>
          <w:rFonts w:ascii="Calibri" w:hAnsi="Calibri" w:cs="Calibri"/>
        </w:rPr>
      </w:pPr>
      <w:r>
        <w:rPr>
          <w:rFonts w:ascii="Calibri" w:hAnsi="Calibri" w:cs="Calibri"/>
        </w:rPr>
        <w:t>Les deux tiers des établissements de 100 salariés et plus</w:t>
      </w:r>
      <w:r w:rsidR="00C83753">
        <w:rPr>
          <w:rFonts w:ascii="Calibri" w:hAnsi="Calibri" w:cs="Calibri"/>
        </w:rPr>
        <w:t>,</w:t>
      </w:r>
      <w:r>
        <w:rPr>
          <w:rFonts w:ascii="Calibri" w:hAnsi="Calibri" w:cs="Calibri"/>
        </w:rPr>
        <w:t xml:space="preserve"> </w:t>
      </w:r>
      <w:r w:rsidR="00C83753">
        <w:rPr>
          <w:rFonts w:ascii="Calibri" w:hAnsi="Calibri" w:cs="Calibri"/>
        </w:rPr>
        <w:t xml:space="preserve">ainsi qu’un établissement sur deux de 50 à 99 salariés, </w:t>
      </w:r>
      <w:r>
        <w:rPr>
          <w:rFonts w:ascii="Calibri" w:hAnsi="Calibri" w:cs="Calibri"/>
        </w:rPr>
        <w:t>estiment que les techniciens et agents de maîtrise doivent avoir reçu des formations spécifiques à la logistique pour occuper leur poste.</w:t>
      </w:r>
    </w:p>
    <w:p w:rsidR="00F246AB" w:rsidRDefault="00F246AB" w:rsidP="002B1371">
      <w:pPr>
        <w:jc w:val="both"/>
        <w:rPr>
          <w:rFonts w:ascii="Calibri" w:hAnsi="Calibri" w:cs="Calibri"/>
        </w:rPr>
      </w:pPr>
    </w:p>
    <w:p w:rsidR="00F246AB" w:rsidRDefault="00C83753" w:rsidP="002B1371">
      <w:pPr>
        <w:jc w:val="both"/>
        <w:rPr>
          <w:rFonts w:ascii="Calibri" w:hAnsi="Calibri" w:cs="Calibri"/>
        </w:rPr>
      </w:pPr>
      <w:r>
        <w:rPr>
          <w:rFonts w:ascii="Calibri" w:hAnsi="Calibri" w:cs="Calibri"/>
        </w:rPr>
        <w:t>Ce critère est également mis en avant pour le recrutement des cadres de la logistique</w:t>
      </w:r>
      <w:r w:rsidR="005B666C">
        <w:rPr>
          <w:rFonts w:ascii="Calibri" w:hAnsi="Calibri" w:cs="Calibri"/>
        </w:rPr>
        <w:t xml:space="preserve"> par les établissements de 100 salariés et plus</w:t>
      </w:r>
      <w:r w:rsidR="004D4824">
        <w:rPr>
          <w:rFonts w:ascii="Calibri" w:hAnsi="Calibri" w:cs="Calibri"/>
        </w:rPr>
        <w:t xml:space="preserve"> (</w:t>
      </w:r>
      <w:r>
        <w:rPr>
          <w:rFonts w:ascii="Calibri" w:hAnsi="Calibri" w:cs="Calibri"/>
        </w:rPr>
        <w:t xml:space="preserve">58% </w:t>
      </w:r>
      <w:r w:rsidR="00E92B38">
        <w:rPr>
          <w:rFonts w:ascii="Calibri" w:hAnsi="Calibri" w:cs="Calibri"/>
        </w:rPr>
        <w:t>d’entre eux</w:t>
      </w:r>
      <w:r w:rsidR="004D4824">
        <w:rPr>
          <w:rFonts w:ascii="Calibri" w:hAnsi="Calibri" w:cs="Calibri"/>
        </w:rPr>
        <w:t xml:space="preserve"> le citent</w:t>
      </w:r>
      <w:r w:rsidR="00E92B38">
        <w:rPr>
          <w:rFonts w:ascii="Calibri" w:hAnsi="Calibri" w:cs="Calibri"/>
        </w:rPr>
        <w:t>)</w:t>
      </w:r>
      <w:r w:rsidR="000B35AE">
        <w:rPr>
          <w:rFonts w:ascii="Calibri" w:hAnsi="Calibri" w:cs="Calibri"/>
        </w:rPr>
        <w:t xml:space="preserve">, </w:t>
      </w:r>
      <w:r w:rsidR="005B666C">
        <w:rPr>
          <w:rFonts w:ascii="Calibri" w:hAnsi="Calibri" w:cs="Calibri"/>
        </w:rPr>
        <w:t>tandis que les établissements de moins de 100 salariés leur préfèrent des candidats expérimentés (l’expérience est citée par 48% des établissements de cette tranche de taille</w:t>
      </w:r>
      <w:r w:rsidR="000B35AE">
        <w:rPr>
          <w:rFonts w:ascii="Calibri" w:hAnsi="Calibri" w:cs="Calibri"/>
        </w:rPr>
        <w:t xml:space="preserve"> pour les cadres)</w:t>
      </w:r>
      <w:r>
        <w:rPr>
          <w:rFonts w:ascii="Calibri" w:hAnsi="Calibri" w:cs="Calibri"/>
        </w:rPr>
        <w:t>.</w:t>
      </w:r>
    </w:p>
    <w:p w:rsidR="00C83753" w:rsidRDefault="00C83753" w:rsidP="002B1371">
      <w:pPr>
        <w:jc w:val="both"/>
        <w:rPr>
          <w:rFonts w:ascii="Calibri" w:hAnsi="Calibri" w:cs="Calibri"/>
        </w:rPr>
      </w:pPr>
    </w:p>
    <w:p w:rsidR="002B1371" w:rsidRPr="002436B1" w:rsidRDefault="00C83753" w:rsidP="002B1371">
      <w:pPr>
        <w:jc w:val="both"/>
        <w:rPr>
          <w:rFonts w:ascii="Calibri" w:hAnsi="Calibri" w:cs="Calibri"/>
          <w:sz w:val="16"/>
          <w:szCs w:val="16"/>
        </w:rPr>
      </w:pPr>
      <w:r>
        <w:rPr>
          <w:rFonts w:ascii="Calibri" w:hAnsi="Calibri" w:cs="Calibri"/>
        </w:rPr>
        <w:t xml:space="preserve">Pour les opérateurs logistiques, </w:t>
      </w:r>
      <w:r w:rsidR="005B666C">
        <w:rPr>
          <w:rFonts w:ascii="Calibri" w:hAnsi="Calibri" w:cs="Calibri"/>
        </w:rPr>
        <w:t xml:space="preserve">la détention du CACES et la motivation priment, citées par plus de 60% des répondants. </w:t>
      </w:r>
    </w:p>
    <w:p w:rsidR="002B1371" w:rsidRDefault="002B1371" w:rsidP="002B1371">
      <w:pPr>
        <w:rPr>
          <w:rFonts w:ascii="Calibri" w:hAnsi="Calibri" w:cs="Calibri"/>
        </w:rPr>
      </w:pPr>
    </w:p>
    <w:p w:rsidR="000B35AE" w:rsidRPr="007304CE" w:rsidRDefault="007304CE" w:rsidP="002B1371">
      <w:pPr>
        <w:rPr>
          <w:rFonts w:ascii="Arial Black" w:hAnsi="Arial Black" w:cs="Calibri"/>
          <w:b/>
          <w:bCs/>
          <w:color w:val="632423"/>
        </w:rPr>
      </w:pPr>
      <w:r>
        <w:rPr>
          <w:rFonts w:ascii="Arial Black" w:hAnsi="Arial Black" w:cs="Calibri"/>
          <w:b/>
          <w:bCs/>
          <w:color w:val="632423"/>
        </w:rPr>
        <w:t>D</w:t>
      </w:r>
      <w:r w:rsidRPr="007304CE">
        <w:rPr>
          <w:rFonts w:ascii="Arial Black" w:hAnsi="Arial Black" w:cs="Calibri"/>
          <w:b/>
          <w:bCs/>
          <w:color w:val="632423"/>
        </w:rPr>
        <w:t xml:space="preserve">es annonces de recrutement </w:t>
      </w:r>
      <w:r>
        <w:rPr>
          <w:rFonts w:ascii="Arial Black" w:hAnsi="Arial Black" w:cs="Calibri"/>
          <w:b/>
          <w:bCs/>
          <w:color w:val="632423"/>
        </w:rPr>
        <w:t>plus souvent sur le net que dans la presse</w:t>
      </w:r>
    </w:p>
    <w:p w:rsidR="007304CE" w:rsidRDefault="007304CE" w:rsidP="002B1371">
      <w:pPr>
        <w:rPr>
          <w:rFonts w:ascii="Calibri" w:hAnsi="Calibri" w:cs="Calibri"/>
        </w:rPr>
      </w:pPr>
    </w:p>
    <w:tbl>
      <w:tblPr>
        <w:tblStyle w:val="Trameclaire-Accent2"/>
        <w:tblW w:w="0" w:type="auto"/>
        <w:tblLook w:val="0420" w:firstRow="1" w:lastRow="0" w:firstColumn="0" w:lastColumn="0" w:noHBand="0" w:noVBand="1"/>
      </w:tblPr>
      <w:tblGrid>
        <w:gridCol w:w="3652"/>
        <w:gridCol w:w="2087"/>
        <w:gridCol w:w="2426"/>
        <w:gridCol w:w="2140"/>
      </w:tblGrid>
      <w:tr w:rsidR="004138F5" w:rsidRPr="004138F5" w:rsidTr="004138F5">
        <w:trPr>
          <w:cnfStyle w:val="100000000000" w:firstRow="1" w:lastRow="0" w:firstColumn="0" w:lastColumn="0" w:oddVBand="0" w:evenVBand="0" w:oddHBand="0" w:evenHBand="0" w:firstRowFirstColumn="0" w:firstRowLastColumn="0" w:lastRowFirstColumn="0" w:lastRowLastColumn="0"/>
        </w:trPr>
        <w:tc>
          <w:tcPr>
            <w:tcW w:w="3652" w:type="dxa"/>
          </w:tcPr>
          <w:p w:rsidR="000B35AE" w:rsidRPr="004138F5" w:rsidRDefault="000B35AE" w:rsidP="000B35AE">
            <w:pPr>
              <w:rPr>
                <w:rFonts w:asciiTheme="minorHAnsi" w:hAnsiTheme="minorHAnsi" w:cstheme="minorHAnsi"/>
                <w:b w:val="0"/>
                <w:color w:val="auto"/>
                <w:sz w:val="22"/>
                <w:szCs w:val="22"/>
              </w:rPr>
            </w:pPr>
            <w:bookmarkStart w:id="4" w:name="OLE_LINK2"/>
          </w:p>
        </w:tc>
        <w:tc>
          <w:tcPr>
            <w:tcW w:w="2087" w:type="dxa"/>
          </w:tcPr>
          <w:p w:rsidR="000B35AE" w:rsidRPr="004138F5" w:rsidRDefault="004138F5" w:rsidP="000B35AE">
            <w:pPr>
              <w:keepNext/>
              <w:jc w:val="center"/>
              <w:outlineLvl w:val="1"/>
              <w:rPr>
                <w:rFonts w:asciiTheme="minorHAnsi" w:hAnsiTheme="minorHAnsi" w:cstheme="minorHAnsi"/>
                <w:b w:val="0"/>
                <w:bCs w:val="0"/>
                <w:color w:val="auto"/>
                <w:sz w:val="22"/>
                <w:szCs w:val="22"/>
              </w:rPr>
            </w:pPr>
            <w:r w:rsidRPr="004138F5">
              <w:rPr>
                <w:rFonts w:asciiTheme="minorHAnsi" w:hAnsiTheme="minorHAnsi" w:cstheme="minorHAnsi"/>
                <w:b w:val="0"/>
                <w:bCs w:val="0"/>
                <w:color w:val="auto"/>
                <w:sz w:val="22"/>
                <w:szCs w:val="22"/>
              </w:rPr>
              <w:t>C</w:t>
            </w:r>
            <w:r w:rsidR="000B35AE" w:rsidRPr="004138F5">
              <w:rPr>
                <w:rFonts w:asciiTheme="minorHAnsi" w:hAnsiTheme="minorHAnsi" w:cstheme="minorHAnsi"/>
                <w:b w:val="0"/>
                <w:bCs w:val="0"/>
                <w:color w:val="auto"/>
                <w:sz w:val="22"/>
                <w:szCs w:val="22"/>
              </w:rPr>
              <w:t>adres</w:t>
            </w:r>
          </w:p>
        </w:tc>
        <w:tc>
          <w:tcPr>
            <w:tcW w:w="2426" w:type="dxa"/>
          </w:tcPr>
          <w:p w:rsidR="004138F5" w:rsidRDefault="004138F5" w:rsidP="000B35AE">
            <w:pPr>
              <w:jc w:val="center"/>
              <w:rPr>
                <w:rFonts w:asciiTheme="minorHAnsi" w:hAnsiTheme="minorHAnsi" w:cstheme="minorHAnsi"/>
                <w:b w:val="0"/>
                <w:bCs w:val="0"/>
                <w:color w:val="auto"/>
                <w:sz w:val="22"/>
                <w:szCs w:val="22"/>
              </w:rPr>
            </w:pPr>
            <w:r w:rsidRPr="004138F5">
              <w:rPr>
                <w:rFonts w:asciiTheme="minorHAnsi" w:hAnsiTheme="minorHAnsi" w:cstheme="minorHAnsi"/>
                <w:b w:val="0"/>
                <w:bCs w:val="0"/>
                <w:color w:val="auto"/>
                <w:sz w:val="22"/>
                <w:szCs w:val="22"/>
              </w:rPr>
              <w:t>T</w:t>
            </w:r>
            <w:r w:rsidR="000B35AE" w:rsidRPr="004138F5">
              <w:rPr>
                <w:rFonts w:asciiTheme="minorHAnsi" w:hAnsiTheme="minorHAnsi" w:cstheme="minorHAnsi"/>
                <w:b w:val="0"/>
                <w:bCs w:val="0"/>
                <w:color w:val="auto"/>
                <w:sz w:val="22"/>
                <w:szCs w:val="22"/>
              </w:rPr>
              <w:t>echniciens/</w:t>
            </w:r>
          </w:p>
          <w:p w:rsidR="000B35AE" w:rsidRPr="004138F5" w:rsidRDefault="000B35AE" w:rsidP="000B35AE">
            <w:pPr>
              <w:jc w:val="center"/>
              <w:rPr>
                <w:rFonts w:asciiTheme="minorHAnsi" w:hAnsiTheme="minorHAnsi" w:cstheme="minorHAnsi"/>
                <w:b w:val="0"/>
                <w:bCs w:val="0"/>
                <w:color w:val="auto"/>
                <w:sz w:val="22"/>
                <w:szCs w:val="22"/>
              </w:rPr>
            </w:pPr>
            <w:r w:rsidRPr="004138F5">
              <w:rPr>
                <w:rFonts w:asciiTheme="minorHAnsi" w:hAnsiTheme="minorHAnsi" w:cstheme="minorHAnsi"/>
                <w:b w:val="0"/>
                <w:bCs w:val="0"/>
                <w:color w:val="auto"/>
                <w:sz w:val="22"/>
                <w:szCs w:val="22"/>
              </w:rPr>
              <w:t>agents de maîtrise</w:t>
            </w:r>
          </w:p>
        </w:tc>
        <w:tc>
          <w:tcPr>
            <w:tcW w:w="2140" w:type="dxa"/>
          </w:tcPr>
          <w:p w:rsidR="000B35AE" w:rsidRPr="004138F5" w:rsidRDefault="004138F5" w:rsidP="000B35AE">
            <w:pPr>
              <w:jc w:val="center"/>
              <w:rPr>
                <w:rFonts w:asciiTheme="minorHAnsi" w:hAnsiTheme="minorHAnsi" w:cstheme="minorHAnsi"/>
                <w:b w:val="0"/>
                <w:bCs w:val="0"/>
                <w:color w:val="auto"/>
                <w:sz w:val="22"/>
                <w:szCs w:val="22"/>
              </w:rPr>
            </w:pPr>
            <w:r w:rsidRPr="004138F5">
              <w:rPr>
                <w:rFonts w:asciiTheme="minorHAnsi" w:hAnsiTheme="minorHAnsi" w:cstheme="minorHAnsi"/>
                <w:b w:val="0"/>
                <w:bCs w:val="0"/>
                <w:color w:val="auto"/>
                <w:sz w:val="22"/>
                <w:szCs w:val="22"/>
              </w:rPr>
              <w:t>O</w:t>
            </w:r>
            <w:r w:rsidR="000B35AE" w:rsidRPr="004138F5">
              <w:rPr>
                <w:rFonts w:asciiTheme="minorHAnsi" w:hAnsiTheme="minorHAnsi" w:cstheme="minorHAnsi"/>
                <w:b w:val="0"/>
                <w:bCs w:val="0"/>
                <w:color w:val="auto"/>
                <w:sz w:val="22"/>
                <w:szCs w:val="22"/>
              </w:rPr>
              <w:t>pérateurs</w:t>
            </w:r>
          </w:p>
        </w:tc>
      </w:tr>
      <w:bookmarkEnd w:id="4"/>
      <w:tr w:rsidR="004138F5" w:rsidRPr="004138F5" w:rsidTr="004138F5">
        <w:trPr>
          <w:cnfStyle w:val="000000100000" w:firstRow="0" w:lastRow="0" w:firstColumn="0" w:lastColumn="0" w:oddVBand="0" w:evenVBand="0" w:oddHBand="1" w:evenHBand="0" w:firstRowFirstColumn="0" w:firstRowLastColumn="0" w:lastRowFirstColumn="0" w:lastRowLastColumn="0"/>
        </w:trPr>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Pôle emploi</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22%</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38%</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42%</w:t>
            </w:r>
          </w:p>
        </w:tc>
      </w:tr>
      <w:tr w:rsidR="004138F5" w:rsidRPr="004138F5" w:rsidTr="004138F5">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APEC</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23%</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9%</w:t>
            </w:r>
          </w:p>
        </w:tc>
        <w:tc>
          <w:tcPr>
            <w:tcW w:w="2140" w:type="dxa"/>
          </w:tcPr>
          <w:p w:rsidR="00241B1E" w:rsidRPr="004138F5" w:rsidRDefault="00241B1E" w:rsidP="004138F5">
            <w:pPr>
              <w:jc w:val="center"/>
              <w:rPr>
                <w:rFonts w:asciiTheme="minorHAnsi" w:hAnsiTheme="minorHAnsi" w:cstheme="minorHAnsi"/>
                <w:color w:val="auto"/>
                <w:sz w:val="22"/>
                <w:szCs w:val="22"/>
              </w:rPr>
            </w:pPr>
          </w:p>
        </w:tc>
      </w:tr>
      <w:tr w:rsidR="004138F5" w:rsidRPr="004138F5" w:rsidTr="004138F5">
        <w:trPr>
          <w:cnfStyle w:val="000000100000" w:firstRow="0" w:lastRow="0" w:firstColumn="0" w:lastColumn="0" w:oddVBand="0" w:evenVBand="0" w:oddHBand="1" w:evenHBand="0" w:firstRowFirstColumn="0" w:firstRowLastColumn="0" w:lastRowFirstColumn="0" w:lastRowLastColumn="0"/>
        </w:trPr>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Cabinets de recrutement</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27%</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13%</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6%</w:t>
            </w:r>
          </w:p>
        </w:tc>
      </w:tr>
      <w:tr w:rsidR="004138F5" w:rsidRPr="004138F5" w:rsidTr="004138F5">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Candidatures spontanées</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28%</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41%</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46%</w:t>
            </w:r>
          </w:p>
        </w:tc>
      </w:tr>
      <w:tr w:rsidR="004138F5" w:rsidRPr="004138F5" w:rsidTr="004138F5">
        <w:trPr>
          <w:cnfStyle w:val="000000100000" w:firstRow="0" w:lastRow="0" w:firstColumn="0" w:lastColumn="0" w:oddVBand="0" w:evenVBand="0" w:oddHBand="1" w:evenHBand="0" w:firstRowFirstColumn="0" w:firstRowLastColumn="0" w:lastRowFirstColumn="0" w:lastRowLastColumn="0"/>
        </w:trPr>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 xml:space="preserve">Annonces dans la presse </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8%</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10%</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10%</w:t>
            </w:r>
          </w:p>
        </w:tc>
      </w:tr>
      <w:tr w:rsidR="004138F5" w:rsidRPr="004138F5" w:rsidTr="004138F5">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 xml:space="preserve">Annonces sur Internet </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14%</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19%</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19%</w:t>
            </w:r>
          </w:p>
        </w:tc>
      </w:tr>
      <w:tr w:rsidR="004138F5" w:rsidRPr="004138F5" w:rsidTr="004138F5">
        <w:trPr>
          <w:cnfStyle w:val="000000100000" w:firstRow="0" w:lastRow="0" w:firstColumn="0" w:lastColumn="0" w:oddVBand="0" w:evenVBand="0" w:oddHBand="1" w:evenHBand="0" w:firstRowFirstColumn="0" w:firstRowLastColumn="0" w:lastRowFirstColumn="0" w:lastRowLastColumn="0"/>
        </w:trPr>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Organismes de formation</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6%</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10%</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11%</w:t>
            </w:r>
          </w:p>
        </w:tc>
      </w:tr>
      <w:tr w:rsidR="004138F5" w:rsidRPr="004138F5" w:rsidTr="004138F5">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Relations</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14%</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21%</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27%</w:t>
            </w:r>
          </w:p>
        </w:tc>
      </w:tr>
      <w:tr w:rsidR="004138F5" w:rsidRPr="004138F5" w:rsidTr="004138F5">
        <w:trPr>
          <w:cnfStyle w:val="000000100000" w:firstRow="0" w:lastRow="0" w:firstColumn="0" w:lastColumn="0" w:oddVBand="0" w:evenVBand="0" w:oddHBand="1" w:evenHBand="0" w:firstRowFirstColumn="0" w:firstRowLastColumn="0" w:lastRowFirstColumn="0" w:lastRowLastColumn="0"/>
        </w:trPr>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Placement par agence d’intérim</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6%</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25%</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69%</w:t>
            </w:r>
          </w:p>
        </w:tc>
      </w:tr>
      <w:tr w:rsidR="004138F5" w:rsidRPr="004138F5" w:rsidTr="004138F5">
        <w:tc>
          <w:tcPr>
            <w:tcW w:w="3652" w:type="dxa"/>
          </w:tcPr>
          <w:p w:rsidR="00241B1E" w:rsidRPr="004138F5" w:rsidRDefault="00241B1E" w:rsidP="000B35AE">
            <w:pPr>
              <w:rPr>
                <w:rFonts w:asciiTheme="minorHAnsi" w:hAnsiTheme="minorHAnsi" w:cstheme="minorHAnsi"/>
                <w:color w:val="auto"/>
                <w:sz w:val="22"/>
                <w:szCs w:val="22"/>
              </w:rPr>
            </w:pPr>
            <w:r w:rsidRPr="004138F5">
              <w:rPr>
                <w:rFonts w:asciiTheme="minorHAnsi" w:hAnsiTheme="minorHAnsi" w:cstheme="minorHAnsi"/>
                <w:color w:val="auto"/>
                <w:sz w:val="22"/>
                <w:szCs w:val="22"/>
              </w:rPr>
              <w:t xml:space="preserve">Autres </w:t>
            </w:r>
          </w:p>
        </w:tc>
        <w:tc>
          <w:tcPr>
            <w:tcW w:w="2087"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4%</w:t>
            </w:r>
          </w:p>
        </w:tc>
        <w:tc>
          <w:tcPr>
            <w:tcW w:w="2426"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5%</w:t>
            </w:r>
          </w:p>
        </w:tc>
        <w:tc>
          <w:tcPr>
            <w:tcW w:w="2140" w:type="dxa"/>
          </w:tcPr>
          <w:p w:rsidR="00241B1E" w:rsidRPr="004138F5" w:rsidRDefault="00241B1E" w:rsidP="004138F5">
            <w:pPr>
              <w:jc w:val="center"/>
              <w:rPr>
                <w:rFonts w:asciiTheme="minorHAnsi" w:hAnsiTheme="minorHAnsi" w:cstheme="minorHAnsi"/>
                <w:color w:val="auto"/>
                <w:sz w:val="22"/>
                <w:szCs w:val="22"/>
              </w:rPr>
            </w:pPr>
            <w:r w:rsidRPr="004138F5">
              <w:rPr>
                <w:rFonts w:asciiTheme="minorHAnsi" w:hAnsiTheme="minorHAnsi" w:cstheme="minorHAnsi"/>
                <w:color w:val="auto"/>
                <w:sz w:val="22"/>
                <w:szCs w:val="22"/>
              </w:rPr>
              <w:t>3%</w:t>
            </w:r>
          </w:p>
        </w:tc>
      </w:tr>
    </w:tbl>
    <w:p w:rsidR="000B35AE" w:rsidRDefault="000B35AE" w:rsidP="002B1371">
      <w:pPr>
        <w:rPr>
          <w:rFonts w:ascii="Calibri" w:hAnsi="Calibri" w:cs="Calibri"/>
        </w:rPr>
      </w:pPr>
    </w:p>
    <w:p w:rsidR="000B35AE" w:rsidRDefault="007304CE" w:rsidP="00146C09">
      <w:pPr>
        <w:jc w:val="both"/>
        <w:rPr>
          <w:rFonts w:ascii="Calibri" w:hAnsi="Calibri" w:cs="Calibri"/>
        </w:rPr>
      </w:pPr>
      <w:r>
        <w:rPr>
          <w:rFonts w:ascii="Calibri" w:hAnsi="Calibri" w:cs="Calibri"/>
        </w:rPr>
        <w:t xml:space="preserve">Les candidatures spontanées </w:t>
      </w:r>
      <w:r w:rsidR="00663FFD">
        <w:rPr>
          <w:rFonts w:ascii="Calibri" w:hAnsi="Calibri" w:cs="Calibri"/>
        </w:rPr>
        <w:t>constituent</w:t>
      </w:r>
      <w:r>
        <w:rPr>
          <w:rFonts w:ascii="Calibri" w:hAnsi="Calibri" w:cs="Calibri"/>
        </w:rPr>
        <w:t xml:space="preserve"> l</w:t>
      </w:r>
      <w:r w:rsidR="00663FFD">
        <w:rPr>
          <w:rFonts w:ascii="Calibri" w:hAnsi="Calibri" w:cs="Calibri"/>
        </w:rPr>
        <w:t>e premier vivier de recrutement du personnel logistique</w:t>
      </w:r>
      <w:r w:rsidR="008C3CCA">
        <w:rPr>
          <w:rFonts w:ascii="Calibri" w:hAnsi="Calibri" w:cs="Calibri"/>
        </w:rPr>
        <w:t xml:space="preserve"> pour le personnel logistique d’encadrement</w:t>
      </w:r>
      <w:r w:rsidR="00663FFD">
        <w:rPr>
          <w:rFonts w:ascii="Calibri" w:hAnsi="Calibri" w:cs="Calibri"/>
        </w:rPr>
        <w:t> : ainsi</w:t>
      </w:r>
      <w:r w:rsidR="00F734B0">
        <w:rPr>
          <w:rFonts w:ascii="Calibri" w:hAnsi="Calibri" w:cs="Calibri"/>
        </w:rPr>
        <w:t>,</w:t>
      </w:r>
      <w:r w:rsidR="00663FFD">
        <w:rPr>
          <w:rFonts w:ascii="Calibri" w:hAnsi="Calibri" w:cs="Calibri"/>
        </w:rPr>
        <w:t xml:space="preserve"> 41% des sondés déclarent avoir recours aux candidatures spontanées pour pourvoir des postes de techniciens et agents de maîtrise. </w:t>
      </w:r>
      <w:r w:rsidR="0059477C">
        <w:rPr>
          <w:rFonts w:ascii="Calibri" w:hAnsi="Calibri" w:cs="Calibri"/>
        </w:rPr>
        <w:t>Pour le recrutement de cadres de la logistique, ce mode de recrutement devance de peu les cabinets de recrutement (cités par 27% des sondés).</w:t>
      </w:r>
    </w:p>
    <w:p w:rsidR="00663FFD" w:rsidRDefault="00663FFD" w:rsidP="00146C09">
      <w:pPr>
        <w:jc w:val="both"/>
        <w:rPr>
          <w:rFonts w:ascii="Calibri" w:hAnsi="Calibri" w:cs="Calibri"/>
        </w:rPr>
      </w:pPr>
    </w:p>
    <w:p w:rsidR="007304CE" w:rsidRDefault="00663FFD" w:rsidP="00146C09">
      <w:pPr>
        <w:jc w:val="both"/>
        <w:rPr>
          <w:rFonts w:ascii="Calibri" w:hAnsi="Calibri" w:cs="Calibri"/>
        </w:rPr>
      </w:pPr>
      <w:r>
        <w:rPr>
          <w:rFonts w:ascii="Calibri" w:hAnsi="Calibri" w:cs="Calibri"/>
        </w:rPr>
        <w:t xml:space="preserve">Néanmoins, </w:t>
      </w:r>
      <w:r w:rsidR="008C3CCA">
        <w:rPr>
          <w:rFonts w:ascii="Calibri" w:hAnsi="Calibri" w:cs="Calibri"/>
        </w:rPr>
        <w:t>pour le recrutement d’opérateurs logistiques, les agences d’intérim ont pris un rôle décisif</w:t>
      </w:r>
      <w:r w:rsidR="00F734B0">
        <w:rPr>
          <w:rFonts w:ascii="Calibri" w:hAnsi="Calibri" w:cs="Calibri"/>
        </w:rPr>
        <w:t>, à l’issue de l</w:t>
      </w:r>
      <w:r w:rsidR="008C3CCA" w:rsidRPr="00F734B0">
        <w:rPr>
          <w:rFonts w:ascii="Calibri" w:hAnsi="Calibri" w:cs="Calibri"/>
        </w:rPr>
        <w:t xml:space="preserve">a loi de cohésion sociale du 18 janvier 2005 </w:t>
      </w:r>
      <w:r w:rsidR="00F734B0" w:rsidRPr="00F734B0">
        <w:rPr>
          <w:rFonts w:ascii="Calibri" w:hAnsi="Calibri" w:cs="Calibri"/>
        </w:rPr>
        <w:t xml:space="preserve">qui a autorisé les agences de travail temporaire, en plus de leur activité de placement d’intérimaires, à proposer des CDD et des CDI aux personnes en recherche d’emploi. Désormais, près de </w:t>
      </w:r>
      <w:r w:rsidR="0059477C">
        <w:rPr>
          <w:rFonts w:ascii="Calibri" w:hAnsi="Calibri" w:cs="Calibri"/>
        </w:rPr>
        <w:t>sept</w:t>
      </w:r>
      <w:r w:rsidR="00F734B0" w:rsidRPr="00F734B0">
        <w:rPr>
          <w:rFonts w:ascii="Calibri" w:hAnsi="Calibri" w:cs="Calibri"/>
        </w:rPr>
        <w:t xml:space="preserve"> employeurs sur </w:t>
      </w:r>
      <w:r w:rsidR="0059477C">
        <w:rPr>
          <w:rFonts w:ascii="Calibri" w:hAnsi="Calibri" w:cs="Calibri"/>
        </w:rPr>
        <w:t>dix</w:t>
      </w:r>
      <w:r w:rsidR="00F734B0" w:rsidRPr="00F734B0">
        <w:rPr>
          <w:rFonts w:ascii="Calibri" w:hAnsi="Calibri" w:cs="Calibri"/>
        </w:rPr>
        <w:t xml:space="preserve"> a recours au placement par agence d’intérim pour recruter des opérateurs logistiques ; ils sont 1,6 fois plus nombreux que ceux qui diffusent leurs offres d’emploi auprès de Pôle emploi. </w:t>
      </w:r>
    </w:p>
    <w:p w:rsidR="000B35AE" w:rsidRDefault="000B35AE" w:rsidP="00146C09">
      <w:pPr>
        <w:jc w:val="both"/>
        <w:rPr>
          <w:rFonts w:ascii="Calibri" w:hAnsi="Calibri" w:cs="Calibri"/>
        </w:rPr>
      </w:pPr>
    </w:p>
    <w:p w:rsidR="0059477C" w:rsidRDefault="0059477C" w:rsidP="00146C09">
      <w:pPr>
        <w:jc w:val="both"/>
        <w:rPr>
          <w:rFonts w:ascii="Calibri" w:hAnsi="Calibri" w:cs="Calibri"/>
        </w:rPr>
      </w:pPr>
      <w:r>
        <w:rPr>
          <w:rFonts w:ascii="Calibri" w:hAnsi="Calibri" w:cs="Calibri"/>
        </w:rPr>
        <w:t>Internet est également devenu un canal de diffusion des offres d’emploi plus utilisé que la presse, et ce quelles que soient les catégories d’emploi. Par exemple, un recruteur sur cinq diffuse des annonces sur le net pour des postes d’opérateurs logi</w:t>
      </w:r>
      <w:r w:rsidR="0031356F">
        <w:rPr>
          <w:rFonts w:ascii="Calibri" w:hAnsi="Calibri" w:cs="Calibri"/>
        </w:rPr>
        <w:t xml:space="preserve">stiques, et un sur dix dans la presse. </w:t>
      </w:r>
    </w:p>
    <w:p w:rsidR="0059477C" w:rsidRPr="002436B1" w:rsidRDefault="0059477C" w:rsidP="002B1371">
      <w:pPr>
        <w:rPr>
          <w:rFonts w:ascii="Calibri" w:hAnsi="Calibri" w:cs="Calibri"/>
        </w:rPr>
      </w:pPr>
    </w:p>
    <w:p w:rsidR="007304CE" w:rsidRDefault="007304CE">
      <w:pPr>
        <w:rPr>
          <w:rFonts w:ascii="Arial Black" w:hAnsi="Arial Black" w:cs="Calibri"/>
          <w:b/>
          <w:bCs/>
          <w:color w:val="632423"/>
        </w:rPr>
      </w:pPr>
    </w:p>
    <w:p w:rsidR="008D314E" w:rsidRDefault="008D314E">
      <w:pPr>
        <w:rPr>
          <w:rFonts w:ascii="Arial Black" w:hAnsi="Arial Black" w:cs="Calibri"/>
          <w:b/>
          <w:bCs/>
          <w:color w:val="632423"/>
        </w:rPr>
      </w:pPr>
      <w:r>
        <w:rPr>
          <w:rFonts w:ascii="Arial Black" w:hAnsi="Arial Black" w:cs="Calibri"/>
          <w:b/>
          <w:bCs/>
          <w:color w:val="632423"/>
        </w:rPr>
        <w:br w:type="page"/>
      </w:r>
    </w:p>
    <w:p w:rsidR="002B1371" w:rsidRPr="00D52914" w:rsidRDefault="00146C09" w:rsidP="002B1371">
      <w:pPr>
        <w:rPr>
          <w:rFonts w:ascii="Arial Black" w:hAnsi="Arial Black" w:cs="Calibri"/>
          <w:b/>
          <w:bCs/>
          <w:color w:val="632423"/>
        </w:rPr>
      </w:pPr>
      <w:r>
        <w:rPr>
          <w:rFonts w:ascii="Arial Black" w:hAnsi="Arial Black" w:cs="Calibri"/>
          <w:b/>
          <w:bCs/>
          <w:color w:val="632423"/>
        </w:rPr>
        <w:t>Un tiers des établissements de 100 salariés et plus continue d’éprouver des difficultés de recrutement</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éprouvant des difficultés de recrutement</w:t>
      </w:r>
    </w:p>
    <w:p w:rsidR="002B1371" w:rsidRPr="002436B1" w:rsidRDefault="002B1371" w:rsidP="002B1371">
      <w:pPr>
        <w:rPr>
          <w:rFonts w:ascii="Calibri" w:hAnsi="Calibri" w:cs="Calibri"/>
        </w:rPr>
      </w:pPr>
    </w:p>
    <w:p w:rsidR="002B1371" w:rsidRDefault="002E6A77" w:rsidP="002B1371">
      <w:pPr>
        <w:rPr>
          <w:rFonts w:ascii="Calibri" w:hAnsi="Calibri" w:cs="Calibri"/>
          <w:i/>
          <w:iCs/>
        </w:rPr>
      </w:pPr>
      <w:r>
        <w:rPr>
          <w:rFonts w:ascii="Calibri" w:hAnsi="Calibri" w:cs="Calibri"/>
          <w:i/>
          <w:iCs/>
        </w:rPr>
        <w:t xml:space="preserve">         </w:t>
      </w:r>
      <w:r w:rsidR="002B1371" w:rsidRPr="002436B1">
        <w:rPr>
          <w:rFonts w:ascii="Calibri" w:hAnsi="Calibri" w:cs="Calibri"/>
          <w:i/>
          <w:iCs/>
        </w:rPr>
        <w:t>Etablissements de 100 salariés et plus</w:t>
      </w:r>
      <w:r w:rsidR="002B1371" w:rsidRPr="002436B1">
        <w:rPr>
          <w:rFonts w:ascii="Calibri" w:hAnsi="Calibri" w:cs="Calibri"/>
          <w:i/>
          <w:iCs/>
        </w:rPr>
        <w:tab/>
      </w:r>
      <w:r w:rsidR="002B1371" w:rsidRPr="002436B1">
        <w:rPr>
          <w:rFonts w:ascii="Calibri" w:hAnsi="Calibri" w:cs="Calibri"/>
          <w:i/>
          <w:iCs/>
        </w:rPr>
        <w:tab/>
        <w:t xml:space="preserve"> </w:t>
      </w:r>
      <w:r>
        <w:rPr>
          <w:rFonts w:ascii="Calibri" w:hAnsi="Calibri" w:cs="Calibri"/>
          <w:i/>
          <w:iCs/>
        </w:rPr>
        <w:t xml:space="preserve">                                                     </w:t>
      </w:r>
      <w:r w:rsidR="002B1371" w:rsidRPr="002436B1">
        <w:rPr>
          <w:rFonts w:ascii="Calibri" w:hAnsi="Calibri" w:cs="Calibri"/>
          <w:i/>
          <w:iCs/>
        </w:rPr>
        <w:t xml:space="preserve">  Etablissements de 50 à 99 salariés</w:t>
      </w:r>
    </w:p>
    <w:p w:rsidR="002E6A77" w:rsidRPr="002436B1" w:rsidRDefault="002E6A77" w:rsidP="002B1371">
      <w:pPr>
        <w:rPr>
          <w:rFonts w:ascii="Calibri" w:hAnsi="Calibri" w:cs="Calibri"/>
          <w:i/>
          <w:iCs/>
        </w:rPr>
      </w:pPr>
      <w:r>
        <w:rPr>
          <w:rFonts w:ascii="Calibri" w:hAnsi="Calibri" w:cs="Calibri"/>
          <w:i/>
          <w:iCs/>
          <w:noProof/>
        </w:rPr>
        <w:drawing>
          <wp:inline distT="0" distB="0" distL="0" distR="0" wp14:anchorId="70496BAE" wp14:editId="4BB4D770">
            <wp:extent cx="4416725" cy="2355011"/>
            <wp:effectExtent l="0" t="0" r="22225" b="26670"/>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Calibri" w:hAnsi="Calibri" w:cs="Calibri"/>
          <w:i/>
          <w:iCs/>
        </w:rPr>
        <w:t xml:space="preserve">         </w:t>
      </w:r>
      <w:r>
        <w:rPr>
          <w:rFonts w:ascii="Calibri" w:hAnsi="Calibri" w:cs="Calibri"/>
          <w:i/>
          <w:iCs/>
          <w:noProof/>
        </w:rPr>
        <w:drawing>
          <wp:inline distT="0" distB="0" distL="0" distR="0" wp14:anchorId="73B9CCCF" wp14:editId="39F31B55">
            <wp:extent cx="4416725" cy="2346385"/>
            <wp:effectExtent l="0" t="0" r="22225" b="15875"/>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257C6" w:rsidRDefault="00A257C6" w:rsidP="00F41FF5">
      <w:pPr>
        <w:jc w:val="both"/>
        <w:rPr>
          <w:rFonts w:ascii="Calibri" w:hAnsi="Calibri" w:cs="Calibri"/>
        </w:rPr>
      </w:pPr>
    </w:p>
    <w:p w:rsidR="002B1371" w:rsidRPr="002436B1" w:rsidRDefault="00681CEA" w:rsidP="00F41FF5">
      <w:pPr>
        <w:jc w:val="both"/>
        <w:rPr>
          <w:rFonts w:ascii="Calibri" w:hAnsi="Calibri" w:cs="Calibri"/>
        </w:rPr>
      </w:pPr>
      <w:r>
        <w:rPr>
          <w:rFonts w:ascii="Calibri" w:hAnsi="Calibri" w:cs="Calibri"/>
        </w:rPr>
        <w:t>Globalement, la</w:t>
      </w:r>
      <w:r w:rsidR="002B1371" w:rsidRPr="002436B1">
        <w:rPr>
          <w:rFonts w:ascii="Calibri" w:hAnsi="Calibri" w:cs="Calibri"/>
        </w:rPr>
        <w:t xml:space="preserve"> proportion de sondés déclarant éprouver des difficultés de recrutement pour des emplois logistiques, tous secteurs et tailles confondus, </w:t>
      </w:r>
      <w:r>
        <w:rPr>
          <w:rFonts w:ascii="Calibri" w:hAnsi="Calibri" w:cs="Calibri"/>
        </w:rPr>
        <w:t xml:space="preserve">reste stable, </w:t>
      </w:r>
      <w:r w:rsidR="002B1371" w:rsidRPr="002436B1">
        <w:rPr>
          <w:rFonts w:ascii="Calibri" w:hAnsi="Calibri" w:cs="Calibri"/>
        </w:rPr>
        <w:t xml:space="preserve">à 29%. </w:t>
      </w:r>
      <w:r>
        <w:rPr>
          <w:rFonts w:ascii="Calibri" w:hAnsi="Calibri" w:cs="Calibri"/>
        </w:rPr>
        <w:t xml:space="preserve">Les établissements de 100 salariés et plus sont néanmoins plus nombreux à se plaindre de difficultés de recrutement (34% dans ce cas) que les établissements de plus petite taille (20% des établissements de 50 à 99 salariés). </w:t>
      </w:r>
    </w:p>
    <w:p w:rsidR="002E6A77" w:rsidRPr="0058255D" w:rsidRDefault="002E6A77" w:rsidP="002E6A77">
      <w:pPr>
        <w:rPr>
          <w:rFonts w:ascii="Calibri" w:hAnsi="Calibri" w:cs="Calibri"/>
          <w:b/>
          <w:bCs/>
          <w:color w:val="4F6228"/>
          <w:sz w:val="22"/>
        </w:rPr>
      </w:pPr>
    </w:p>
    <w:p w:rsidR="008D314E" w:rsidRDefault="008D314E">
      <w:pPr>
        <w:rPr>
          <w:rFonts w:ascii="Arial Black" w:hAnsi="Arial Black" w:cs="Calibri"/>
          <w:b/>
          <w:bCs/>
          <w:color w:val="632423"/>
        </w:rPr>
      </w:pPr>
      <w:r>
        <w:rPr>
          <w:rFonts w:ascii="Arial Black" w:hAnsi="Arial Black" w:cs="Calibri"/>
          <w:b/>
          <w:bCs/>
          <w:color w:val="632423"/>
        </w:rPr>
        <w:br w:type="page"/>
      </w:r>
    </w:p>
    <w:p w:rsidR="00146C09" w:rsidRDefault="00146C09">
      <w:pPr>
        <w:rPr>
          <w:rFonts w:ascii="Arial Black" w:hAnsi="Arial Black" w:cs="Calibri"/>
          <w:b/>
          <w:bCs/>
          <w:color w:val="632423"/>
        </w:rPr>
      </w:pPr>
    </w:p>
    <w:p w:rsidR="002B1371" w:rsidRPr="00D52914" w:rsidRDefault="00F77DCF" w:rsidP="002E6A77">
      <w:pPr>
        <w:rPr>
          <w:rFonts w:ascii="Arial Black" w:hAnsi="Arial Black" w:cs="Calibri"/>
          <w:b/>
          <w:bCs/>
          <w:color w:val="632423"/>
        </w:rPr>
      </w:pPr>
      <w:r>
        <w:rPr>
          <w:rFonts w:ascii="Arial Black" w:hAnsi="Arial Black" w:cs="Calibri"/>
          <w:b/>
          <w:bCs/>
          <w:color w:val="632423"/>
        </w:rPr>
        <w:t>D</w:t>
      </w:r>
      <w:r w:rsidR="002B1371" w:rsidRPr="00D52914">
        <w:rPr>
          <w:rFonts w:ascii="Arial Black" w:hAnsi="Arial Black" w:cs="Calibri"/>
          <w:b/>
          <w:bCs/>
          <w:color w:val="632423"/>
        </w:rPr>
        <w:t>es prestataires transport-logistique</w:t>
      </w:r>
      <w:r>
        <w:rPr>
          <w:rFonts w:ascii="Arial Black" w:hAnsi="Arial Black" w:cs="Calibri"/>
          <w:b/>
          <w:bCs/>
          <w:color w:val="632423"/>
        </w:rPr>
        <w:t xml:space="preserve"> moins affectés par des difficultés de recrutement que les autres secteurs</w:t>
      </w:r>
    </w:p>
    <w:p w:rsidR="002B1371" w:rsidRPr="002436B1" w:rsidRDefault="002B1371"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Proportion d’établissements éprouvant des difficultés de recrutement par secteur</w:t>
      </w:r>
    </w:p>
    <w:p w:rsidR="002B1371" w:rsidRPr="00B23B7E" w:rsidRDefault="002B1371" w:rsidP="002B1371">
      <w:pPr>
        <w:rPr>
          <w:rFonts w:ascii="Calibri" w:hAnsi="Calibri" w:cs="Calibri"/>
          <w:sz w:val="20"/>
        </w:rPr>
      </w:pPr>
    </w:p>
    <w:p w:rsidR="002B1371" w:rsidRDefault="002B1371" w:rsidP="002B1371">
      <w:pPr>
        <w:rPr>
          <w:rFonts w:ascii="Calibri" w:hAnsi="Calibri" w:cs="Calibri"/>
          <w:i/>
          <w:iCs/>
        </w:rPr>
      </w:pPr>
      <w:r w:rsidRPr="002436B1">
        <w:rPr>
          <w:rFonts w:ascii="Calibri" w:hAnsi="Calibri" w:cs="Calibri"/>
          <w:i/>
          <w:iCs/>
        </w:rPr>
        <w:t>Etablissements de 100 salariés et plus</w:t>
      </w:r>
      <w:r w:rsidR="003355BB">
        <w:rPr>
          <w:rFonts w:ascii="Calibri" w:hAnsi="Calibri" w:cs="Calibri"/>
          <w:i/>
          <w:iCs/>
        </w:rPr>
        <w:tab/>
        <w:t xml:space="preserve">                                                         </w:t>
      </w:r>
      <w:r w:rsidR="00EC5C17">
        <w:rPr>
          <w:rFonts w:ascii="Calibri" w:hAnsi="Calibri" w:cs="Calibri"/>
          <w:i/>
          <w:iCs/>
        </w:rPr>
        <w:t xml:space="preserve"> </w:t>
      </w:r>
      <w:r w:rsidR="003355BB">
        <w:rPr>
          <w:rFonts w:ascii="Calibri" w:hAnsi="Calibri" w:cs="Calibri"/>
          <w:i/>
          <w:iCs/>
        </w:rPr>
        <w:t>Etablissements de 50 à 99 salariés</w:t>
      </w:r>
    </w:p>
    <w:p w:rsidR="00A45EAE" w:rsidRDefault="00A45EAE" w:rsidP="002B1371">
      <w:pPr>
        <w:rPr>
          <w:rFonts w:ascii="Calibri" w:hAnsi="Calibri" w:cs="Calibri"/>
          <w:i/>
          <w:iCs/>
        </w:rPr>
      </w:pPr>
      <w:r>
        <w:rPr>
          <w:rFonts w:ascii="Calibri" w:hAnsi="Calibri" w:cs="Calibri"/>
          <w:i/>
          <w:iCs/>
          <w:noProof/>
        </w:rPr>
        <w:drawing>
          <wp:inline distT="0" distB="0" distL="0" distR="0" wp14:anchorId="3E6C6891" wp14:editId="5FF45099">
            <wp:extent cx="4219575" cy="4705350"/>
            <wp:effectExtent l="0" t="0" r="9525" b="1905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F10E9E">
        <w:rPr>
          <w:rFonts w:ascii="Calibri" w:hAnsi="Calibri" w:cs="Calibri"/>
          <w:i/>
          <w:iCs/>
        </w:rPr>
        <w:t xml:space="preserve">        </w:t>
      </w:r>
      <w:r w:rsidR="00043B38">
        <w:rPr>
          <w:rFonts w:ascii="Calibri" w:hAnsi="Calibri" w:cs="Calibri"/>
          <w:i/>
          <w:iCs/>
        </w:rPr>
        <w:t xml:space="preserve">  </w:t>
      </w:r>
      <w:r w:rsidR="00A158DC">
        <w:rPr>
          <w:rFonts w:ascii="Calibri" w:hAnsi="Calibri" w:cs="Calibri"/>
          <w:i/>
          <w:iCs/>
          <w:noProof/>
        </w:rPr>
        <w:t xml:space="preserve"> </w:t>
      </w:r>
      <w:r w:rsidR="00A158DC">
        <w:rPr>
          <w:rFonts w:ascii="Calibri" w:hAnsi="Calibri" w:cs="Calibri"/>
          <w:i/>
          <w:iCs/>
          <w:noProof/>
        </w:rPr>
        <w:drawing>
          <wp:inline distT="0" distB="0" distL="0" distR="0" wp14:anchorId="3AC4FA30" wp14:editId="31BEDFE6">
            <wp:extent cx="4610100" cy="4714875"/>
            <wp:effectExtent l="0" t="0" r="19050" b="9525"/>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257C6" w:rsidRDefault="00A257C6" w:rsidP="002B1371">
      <w:pPr>
        <w:jc w:val="both"/>
        <w:rPr>
          <w:rFonts w:ascii="Calibri" w:hAnsi="Calibri" w:cs="Calibri"/>
        </w:rPr>
      </w:pPr>
    </w:p>
    <w:p w:rsidR="003355BB" w:rsidRDefault="001E0B0B" w:rsidP="002B1371">
      <w:pPr>
        <w:jc w:val="both"/>
        <w:rPr>
          <w:rFonts w:ascii="Calibri" w:hAnsi="Calibri" w:cs="Calibri"/>
        </w:rPr>
      </w:pPr>
      <w:r>
        <w:rPr>
          <w:rFonts w:ascii="Calibri" w:hAnsi="Calibri" w:cs="Calibri"/>
        </w:rPr>
        <w:t xml:space="preserve">C’est dans l’industrie agroalimentaire que </w:t>
      </w:r>
      <w:r w:rsidR="008211D2">
        <w:rPr>
          <w:rFonts w:ascii="Calibri" w:hAnsi="Calibri" w:cs="Calibri"/>
        </w:rPr>
        <w:t>le nombre d’établissements déclarant éprouver des difficultés à pou</w:t>
      </w:r>
      <w:r w:rsidR="0007443A">
        <w:rPr>
          <w:rFonts w:ascii="Calibri" w:hAnsi="Calibri" w:cs="Calibri"/>
        </w:rPr>
        <w:t>r</w:t>
      </w:r>
      <w:r w:rsidR="008211D2">
        <w:rPr>
          <w:rFonts w:ascii="Calibri" w:hAnsi="Calibri" w:cs="Calibri"/>
        </w:rPr>
        <w:t xml:space="preserve">voir des postes logistiques a le plus augmenté (+11 points). </w:t>
      </w:r>
    </w:p>
    <w:p w:rsidR="008211D2" w:rsidRDefault="008211D2" w:rsidP="002B1371">
      <w:pPr>
        <w:jc w:val="both"/>
        <w:rPr>
          <w:rFonts w:ascii="Calibri" w:hAnsi="Calibri" w:cs="Calibri"/>
        </w:rPr>
      </w:pPr>
      <w:r>
        <w:rPr>
          <w:rFonts w:ascii="Calibri" w:hAnsi="Calibri" w:cs="Calibri"/>
        </w:rPr>
        <w:t xml:space="preserve">Les prestataires transport-logistique </w:t>
      </w:r>
      <w:r w:rsidR="00F77DCF">
        <w:rPr>
          <w:rFonts w:ascii="Calibri" w:hAnsi="Calibri" w:cs="Calibri"/>
        </w:rPr>
        <w:t>sont relativement moins concernés que les autres secteurs par ces difficultés : seulement 14% des établissements de 50 à 99 salariés en sont affectés.</w:t>
      </w:r>
    </w:p>
    <w:p w:rsidR="00AD5019" w:rsidRDefault="00AD5019">
      <w:pPr>
        <w:rPr>
          <w:rFonts w:ascii="Arial Black" w:hAnsi="Arial Black" w:cs="Calibri"/>
          <w:b/>
          <w:bCs/>
          <w:color w:val="632423"/>
        </w:rPr>
      </w:pPr>
    </w:p>
    <w:p w:rsidR="00A257C6" w:rsidRDefault="00A257C6">
      <w:pPr>
        <w:rPr>
          <w:rFonts w:ascii="Arial Black" w:hAnsi="Arial Black" w:cs="Calibri"/>
          <w:b/>
          <w:bCs/>
          <w:color w:val="632423"/>
        </w:rPr>
      </w:pPr>
    </w:p>
    <w:p w:rsidR="002B1371" w:rsidRPr="00D52914" w:rsidRDefault="00221BDE" w:rsidP="002B1371">
      <w:pPr>
        <w:rPr>
          <w:rFonts w:ascii="Arial Black" w:hAnsi="Arial Black" w:cs="Calibri"/>
          <w:b/>
          <w:bCs/>
          <w:color w:val="632423"/>
        </w:rPr>
      </w:pPr>
      <w:r>
        <w:rPr>
          <w:rFonts w:ascii="Arial Black" w:hAnsi="Arial Black" w:cs="Calibri"/>
          <w:b/>
          <w:bCs/>
          <w:color w:val="632423"/>
        </w:rPr>
        <w:t>P</w:t>
      </w:r>
      <w:r w:rsidR="002B1371" w:rsidRPr="00D52914">
        <w:rPr>
          <w:rFonts w:ascii="Arial Black" w:hAnsi="Arial Black" w:cs="Calibri"/>
          <w:b/>
          <w:bCs/>
          <w:color w:val="632423"/>
        </w:rPr>
        <w:t xml:space="preserve">énurie de candidats </w:t>
      </w:r>
      <w:r>
        <w:rPr>
          <w:rFonts w:ascii="Arial Black" w:hAnsi="Arial Black" w:cs="Calibri"/>
          <w:b/>
          <w:bCs/>
          <w:color w:val="632423"/>
        </w:rPr>
        <w:t xml:space="preserve">et manque de motivation à l’origine des difficultés de recrutement </w:t>
      </w:r>
    </w:p>
    <w:p w:rsidR="00EF22B8" w:rsidRDefault="00EF22B8" w:rsidP="002B1371">
      <w:pPr>
        <w:jc w:val="center"/>
        <w:rPr>
          <w:rFonts w:ascii="Calibri" w:hAnsi="Calibri" w:cs="Calibri"/>
          <w:b/>
          <w:bCs/>
          <w:sz w:val="32"/>
          <w:szCs w:val="32"/>
        </w:rPr>
      </w:pPr>
    </w:p>
    <w:p w:rsidR="002B1371" w:rsidRDefault="002B1371" w:rsidP="002B1371">
      <w:pPr>
        <w:jc w:val="center"/>
        <w:rPr>
          <w:rFonts w:ascii="Calibri" w:hAnsi="Calibri" w:cs="Calibri"/>
          <w:b/>
          <w:bCs/>
        </w:rPr>
      </w:pPr>
      <w:r w:rsidRPr="002436B1">
        <w:rPr>
          <w:rFonts w:ascii="Calibri" w:hAnsi="Calibri" w:cs="Calibri"/>
          <w:b/>
          <w:bCs/>
        </w:rPr>
        <w:t>Nature des difficultés de recrutement en 201</w:t>
      </w:r>
      <w:r w:rsidR="00A436EA">
        <w:rPr>
          <w:rFonts w:ascii="Calibri" w:hAnsi="Calibri" w:cs="Calibri"/>
          <w:b/>
          <w:bCs/>
        </w:rPr>
        <w:t>4</w:t>
      </w:r>
      <w:r w:rsidR="0058255D">
        <w:rPr>
          <w:rFonts w:ascii="Calibri" w:hAnsi="Calibri" w:cs="Calibri"/>
          <w:b/>
          <w:bCs/>
        </w:rPr>
        <w:t xml:space="preserve"> </w:t>
      </w:r>
      <w:r w:rsidRPr="002436B1">
        <w:rPr>
          <w:rFonts w:ascii="Calibri" w:hAnsi="Calibri" w:cs="Calibri"/>
          <w:b/>
          <w:bCs/>
        </w:rPr>
        <w:t>(en pourcentage des réponses)</w:t>
      </w:r>
    </w:p>
    <w:p w:rsidR="00B41DC8" w:rsidRDefault="00B41DC8" w:rsidP="002B1371">
      <w:pPr>
        <w:jc w:val="both"/>
        <w:rPr>
          <w:rFonts w:ascii="Calibri" w:hAnsi="Calibri" w:cs="Calibri"/>
          <w:b/>
          <w:bCs/>
        </w:rPr>
      </w:pPr>
    </w:p>
    <w:p w:rsidR="002B1371" w:rsidRPr="002436B1" w:rsidRDefault="00AD6615" w:rsidP="002B1371">
      <w:pPr>
        <w:jc w:val="both"/>
        <w:rPr>
          <w:rFonts w:ascii="Calibri" w:hAnsi="Calibri" w:cs="Calibri"/>
        </w:rPr>
      </w:pPr>
      <w:r>
        <w:rPr>
          <w:rFonts w:ascii="Calibri" w:hAnsi="Calibri" w:cs="Calibri"/>
          <w:noProof/>
        </w:rPr>
        <w:drawing>
          <wp:inline distT="0" distB="0" distL="0" distR="0" wp14:anchorId="02A059F1" wp14:editId="5CA72ECB">
            <wp:extent cx="9382125" cy="2428875"/>
            <wp:effectExtent l="0" t="0" r="9525" b="9525"/>
            <wp:docPr id="34" name="Obje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255D" w:rsidRDefault="0058255D" w:rsidP="002B1371">
      <w:pPr>
        <w:jc w:val="both"/>
        <w:rPr>
          <w:rFonts w:ascii="Calibri" w:hAnsi="Calibri" w:cs="Calibri"/>
        </w:rPr>
      </w:pPr>
    </w:p>
    <w:p w:rsidR="002B1371" w:rsidRPr="002436B1" w:rsidRDefault="00A436EA" w:rsidP="002B1371">
      <w:pPr>
        <w:jc w:val="both"/>
        <w:rPr>
          <w:rFonts w:ascii="Calibri" w:hAnsi="Calibri" w:cs="Calibri"/>
        </w:rPr>
      </w:pPr>
      <w:r>
        <w:rPr>
          <w:rFonts w:ascii="Calibri" w:hAnsi="Calibri" w:cs="Calibri"/>
        </w:rPr>
        <w:t xml:space="preserve">Le manque de motivation des candidats est cité trois fois sur cinq pour expliquer les difficultés rencontrées lors du recrutement d’opérateurs logistiques. Ce facteur joue moins lorsqu’il s’agit de pourvoir des postes à l’encadrement. En revanche, </w:t>
      </w:r>
      <w:r w:rsidR="006E299B">
        <w:rPr>
          <w:rFonts w:ascii="Calibri" w:hAnsi="Calibri" w:cs="Calibri"/>
        </w:rPr>
        <w:t xml:space="preserve">lors du recrutement de cadres de la logistique, </w:t>
      </w:r>
      <w:r>
        <w:rPr>
          <w:rFonts w:ascii="Calibri" w:hAnsi="Calibri" w:cs="Calibri"/>
        </w:rPr>
        <w:t>la pénurie de candidats devient pr</w:t>
      </w:r>
      <w:r w:rsidR="006E299B">
        <w:rPr>
          <w:rFonts w:ascii="Calibri" w:hAnsi="Calibri" w:cs="Calibri"/>
        </w:rPr>
        <w:t>éoccupante</w:t>
      </w:r>
      <w:r w:rsidR="00736052">
        <w:rPr>
          <w:rFonts w:ascii="Calibri" w:hAnsi="Calibri" w:cs="Calibri"/>
        </w:rPr>
        <w:t xml:space="preserve"> (</w:t>
      </w:r>
      <w:r>
        <w:rPr>
          <w:rFonts w:ascii="Calibri" w:hAnsi="Calibri" w:cs="Calibri"/>
        </w:rPr>
        <w:t>35% des</w:t>
      </w:r>
      <w:r w:rsidR="00736052">
        <w:rPr>
          <w:rFonts w:ascii="Calibri" w:hAnsi="Calibri" w:cs="Calibri"/>
        </w:rPr>
        <w:t xml:space="preserve"> motifs cités)</w:t>
      </w:r>
      <w:r w:rsidR="006E299B">
        <w:rPr>
          <w:rFonts w:ascii="Calibri" w:hAnsi="Calibri" w:cs="Calibri"/>
        </w:rPr>
        <w:t xml:space="preserve">, </w:t>
      </w:r>
      <w:r w:rsidR="00736052">
        <w:rPr>
          <w:rFonts w:ascii="Calibri" w:hAnsi="Calibri" w:cs="Calibri"/>
        </w:rPr>
        <w:t>ainsi, dans une moindre mesure, que</w:t>
      </w:r>
      <w:r w:rsidR="006E299B">
        <w:rPr>
          <w:rFonts w:ascii="Calibri" w:hAnsi="Calibri" w:cs="Calibri"/>
        </w:rPr>
        <w:t xml:space="preserve"> la faible mobilité géographique des candidats </w:t>
      </w:r>
      <w:r w:rsidR="00736052">
        <w:rPr>
          <w:rFonts w:ascii="Calibri" w:hAnsi="Calibri" w:cs="Calibri"/>
        </w:rPr>
        <w:t>(26% des citations).</w:t>
      </w:r>
      <w:r>
        <w:rPr>
          <w:rFonts w:ascii="Calibri" w:hAnsi="Calibri" w:cs="Calibri"/>
        </w:rPr>
        <w:t xml:space="preserve">   </w:t>
      </w:r>
    </w:p>
    <w:p w:rsidR="002B1371" w:rsidRPr="002436B1" w:rsidRDefault="002B1371" w:rsidP="002B1371">
      <w:pPr>
        <w:rPr>
          <w:rFonts w:ascii="Calibri" w:hAnsi="Calibri" w:cs="Calibri"/>
        </w:rPr>
      </w:pPr>
    </w:p>
    <w:p w:rsidR="00AD5019" w:rsidRDefault="00AD5019">
      <w:pPr>
        <w:rPr>
          <w:rFonts w:ascii="Arial Black" w:hAnsi="Arial Black" w:cs="Calibri"/>
          <w:b/>
          <w:bCs/>
          <w:color w:val="632423"/>
        </w:rPr>
      </w:pPr>
      <w:r>
        <w:rPr>
          <w:rFonts w:ascii="Arial Black" w:hAnsi="Arial Black" w:cs="Calibri"/>
          <w:b/>
          <w:bCs/>
          <w:color w:val="632423"/>
        </w:rPr>
        <w:br w:type="page"/>
      </w:r>
    </w:p>
    <w:p w:rsidR="00736052" w:rsidRDefault="00736052" w:rsidP="002B1371">
      <w:pPr>
        <w:rPr>
          <w:rFonts w:ascii="Calibri" w:hAnsi="Calibri" w:cs="Calibri"/>
        </w:rPr>
      </w:pPr>
    </w:p>
    <w:p w:rsidR="00044FF6" w:rsidRPr="00044FF6" w:rsidRDefault="00044FF6" w:rsidP="002B1371">
      <w:pPr>
        <w:rPr>
          <w:rFonts w:ascii="Arial Black" w:hAnsi="Arial Black" w:cs="Calibri"/>
          <w:b/>
          <w:bCs/>
          <w:color w:val="632423"/>
        </w:rPr>
      </w:pPr>
      <w:r w:rsidRPr="00044FF6">
        <w:rPr>
          <w:rFonts w:ascii="Arial Black" w:hAnsi="Arial Black" w:cs="Calibri"/>
          <w:b/>
          <w:bCs/>
          <w:color w:val="632423"/>
        </w:rPr>
        <w:t xml:space="preserve">Des disparités </w:t>
      </w:r>
      <w:r>
        <w:rPr>
          <w:rFonts w:ascii="Arial Black" w:hAnsi="Arial Black" w:cs="Calibri"/>
          <w:b/>
          <w:bCs/>
          <w:color w:val="632423"/>
        </w:rPr>
        <w:t>selon</w:t>
      </w:r>
      <w:r w:rsidRPr="00044FF6">
        <w:rPr>
          <w:rFonts w:ascii="Arial Black" w:hAnsi="Arial Black" w:cs="Calibri"/>
          <w:b/>
          <w:bCs/>
          <w:color w:val="632423"/>
        </w:rPr>
        <w:t xml:space="preserve"> les bassins d’emploi</w:t>
      </w:r>
    </w:p>
    <w:p w:rsidR="00044FF6" w:rsidRPr="001533D9" w:rsidRDefault="00044FF6" w:rsidP="002B1371">
      <w:pPr>
        <w:rPr>
          <w:rFonts w:ascii="Calibri" w:hAnsi="Calibri" w:cs="Calibri"/>
        </w:rPr>
      </w:pPr>
    </w:p>
    <w:p w:rsidR="00736052" w:rsidRDefault="001533D9" w:rsidP="001533D9">
      <w:pPr>
        <w:jc w:val="center"/>
        <w:rPr>
          <w:rFonts w:ascii="Calibri" w:hAnsi="Calibri" w:cs="Calibri"/>
          <w:b/>
          <w:bCs/>
        </w:rPr>
      </w:pPr>
      <w:r w:rsidRPr="001533D9">
        <w:rPr>
          <w:rFonts w:ascii="Calibri" w:hAnsi="Calibri" w:cs="Calibri"/>
          <w:b/>
          <w:bCs/>
        </w:rPr>
        <w:t xml:space="preserve">Difficultés de recrutement attribuables </w:t>
      </w:r>
      <w:r w:rsidR="009C53B4">
        <w:rPr>
          <w:rFonts w:ascii="Calibri" w:hAnsi="Calibri" w:cs="Calibri"/>
          <w:b/>
          <w:bCs/>
        </w:rPr>
        <w:t xml:space="preserve">à, </w:t>
      </w:r>
      <w:r w:rsidRPr="001533D9">
        <w:rPr>
          <w:rFonts w:ascii="Calibri" w:hAnsi="Calibri" w:cs="Calibri"/>
          <w:b/>
          <w:bCs/>
        </w:rPr>
        <w:t>ou amplifiées par</w:t>
      </w:r>
      <w:r w:rsidR="009C53B4">
        <w:rPr>
          <w:rFonts w:ascii="Calibri" w:hAnsi="Calibri" w:cs="Calibri"/>
          <w:b/>
          <w:bCs/>
        </w:rPr>
        <w:t>,</w:t>
      </w:r>
      <w:r w:rsidRPr="001533D9">
        <w:rPr>
          <w:rFonts w:ascii="Calibri" w:hAnsi="Calibri" w:cs="Calibri"/>
          <w:b/>
          <w:bCs/>
        </w:rPr>
        <w:t xml:space="preserve"> la localisation géographique (en % d’établissements)</w:t>
      </w:r>
    </w:p>
    <w:p w:rsidR="00EF22B8" w:rsidRDefault="00EF22B8" w:rsidP="001533D9">
      <w:pPr>
        <w:jc w:val="center"/>
        <w:rPr>
          <w:rFonts w:ascii="Calibri" w:hAnsi="Calibri" w:cs="Calibri"/>
          <w:b/>
          <w:bCs/>
        </w:rPr>
      </w:pPr>
    </w:p>
    <w:p w:rsidR="00EF22B8" w:rsidRPr="001533D9" w:rsidRDefault="00EF22B8" w:rsidP="001533D9">
      <w:pPr>
        <w:jc w:val="center"/>
        <w:rPr>
          <w:rFonts w:ascii="Calibri" w:hAnsi="Calibri" w:cs="Calibri"/>
          <w:b/>
          <w:bCs/>
        </w:rPr>
      </w:pPr>
      <w:r>
        <w:rPr>
          <w:rFonts w:ascii="Calibri" w:hAnsi="Calibri" w:cs="Calibri"/>
          <w:i/>
          <w:iCs/>
          <w:noProof/>
        </w:rPr>
        <w:drawing>
          <wp:inline distT="0" distB="0" distL="0" distR="0" wp14:anchorId="14BAFD17" wp14:editId="648C0F94">
            <wp:extent cx="3848100" cy="1876425"/>
            <wp:effectExtent l="0" t="0" r="19050" b="9525"/>
            <wp:docPr id="4" name="Obje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47C65" w:rsidRDefault="00947C65" w:rsidP="00044FF6">
      <w:pPr>
        <w:jc w:val="center"/>
        <w:rPr>
          <w:rFonts w:ascii="Calibri" w:hAnsi="Calibri" w:cs="Calibri"/>
          <w:b/>
          <w:bCs/>
        </w:rPr>
      </w:pPr>
    </w:p>
    <w:p w:rsidR="00044FF6" w:rsidRDefault="00044FF6" w:rsidP="00044FF6">
      <w:pPr>
        <w:jc w:val="center"/>
        <w:rPr>
          <w:rFonts w:ascii="Calibri" w:hAnsi="Calibri" w:cs="Calibri"/>
          <w:b/>
          <w:bCs/>
        </w:rPr>
      </w:pPr>
      <w:r>
        <w:rPr>
          <w:rFonts w:ascii="Calibri" w:hAnsi="Calibri" w:cs="Calibri"/>
          <w:b/>
          <w:bCs/>
        </w:rPr>
        <w:t>Causes (en % d’établissements</w:t>
      </w:r>
      <w:r w:rsidR="008D314E">
        <w:rPr>
          <w:rFonts w:ascii="Calibri" w:hAnsi="Calibri" w:cs="Calibri"/>
          <w:b/>
          <w:bCs/>
        </w:rPr>
        <w:t xml:space="preserve"> ayant cité l’item</w:t>
      </w:r>
      <w:r>
        <w:rPr>
          <w:rFonts w:ascii="Calibri" w:hAnsi="Calibri" w:cs="Calibri"/>
          <w:b/>
          <w:bCs/>
        </w:rPr>
        <w:t>)</w:t>
      </w:r>
    </w:p>
    <w:p w:rsidR="00EF22B8" w:rsidRDefault="00EF22B8" w:rsidP="00044FF6">
      <w:pPr>
        <w:jc w:val="center"/>
        <w:rPr>
          <w:rFonts w:ascii="Calibri" w:hAnsi="Calibri" w:cs="Calibri"/>
          <w:b/>
          <w:bCs/>
        </w:rPr>
      </w:pPr>
    </w:p>
    <w:p w:rsidR="00EF22B8" w:rsidRPr="00044FF6" w:rsidRDefault="00EF22B8" w:rsidP="00044FF6">
      <w:pPr>
        <w:jc w:val="center"/>
        <w:rPr>
          <w:rFonts w:ascii="Calibri" w:hAnsi="Calibri" w:cs="Calibri"/>
          <w:b/>
          <w:bCs/>
        </w:rPr>
      </w:pPr>
      <w:r>
        <w:rPr>
          <w:rFonts w:ascii="Calibri" w:hAnsi="Calibri" w:cs="Calibri"/>
          <w:noProof/>
        </w:rPr>
        <w:drawing>
          <wp:inline distT="0" distB="0" distL="0" distR="0" wp14:anchorId="6C3E91C1" wp14:editId="376A9605">
            <wp:extent cx="8039100" cy="1866900"/>
            <wp:effectExtent l="0" t="0" r="19050" b="190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4FF6" w:rsidRDefault="00044FF6" w:rsidP="00044FF6">
      <w:pPr>
        <w:rPr>
          <w:rFonts w:ascii="Calibri" w:hAnsi="Calibri" w:cs="Calibri"/>
        </w:rPr>
      </w:pPr>
    </w:p>
    <w:p w:rsidR="00947C65" w:rsidRDefault="00947C65" w:rsidP="00044FF6">
      <w:pPr>
        <w:rPr>
          <w:rFonts w:ascii="Calibri" w:hAnsi="Calibri" w:cs="Calibri"/>
        </w:rPr>
      </w:pPr>
    </w:p>
    <w:p w:rsidR="001533D9" w:rsidRDefault="000A014F" w:rsidP="008958BD">
      <w:pPr>
        <w:jc w:val="both"/>
        <w:rPr>
          <w:rFonts w:ascii="Calibri" w:hAnsi="Calibri" w:cs="Calibri"/>
        </w:rPr>
      </w:pPr>
      <w:r>
        <w:rPr>
          <w:rFonts w:ascii="Calibri" w:hAnsi="Calibri" w:cs="Calibri"/>
        </w:rPr>
        <w:t xml:space="preserve">Selon 37% des sondés, leurs difficultés de recrutement sont </w:t>
      </w:r>
      <w:r w:rsidR="009C53B4">
        <w:rPr>
          <w:rFonts w:ascii="Calibri" w:hAnsi="Calibri" w:cs="Calibri"/>
        </w:rPr>
        <w:t>liées à</w:t>
      </w:r>
      <w:r>
        <w:rPr>
          <w:rFonts w:ascii="Calibri" w:hAnsi="Calibri" w:cs="Calibri"/>
        </w:rPr>
        <w:t xml:space="preserve"> la localisation géographique de leur établissement. </w:t>
      </w:r>
      <w:r w:rsidR="00ED3418">
        <w:rPr>
          <w:rFonts w:ascii="Calibri" w:hAnsi="Calibri" w:cs="Calibri"/>
        </w:rPr>
        <w:t xml:space="preserve">Les trois quart d’entre eux souffrent </w:t>
      </w:r>
      <w:r w:rsidR="008958BD">
        <w:rPr>
          <w:rFonts w:ascii="Calibri" w:hAnsi="Calibri" w:cs="Calibri"/>
        </w:rPr>
        <w:t xml:space="preserve">en effet </w:t>
      </w:r>
      <w:r w:rsidR="00ED3418">
        <w:rPr>
          <w:rFonts w:ascii="Calibri" w:hAnsi="Calibri" w:cs="Calibri"/>
        </w:rPr>
        <w:t xml:space="preserve">d’être implantés </w:t>
      </w:r>
      <w:r w:rsidR="009C53B4">
        <w:rPr>
          <w:rFonts w:ascii="Calibri" w:hAnsi="Calibri" w:cs="Calibri"/>
        </w:rPr>
        <w:t>dans</w:t>
      </w:r>
      <w:r w:rsidR="00ED3418">
        <w:rPr>
          <w:rFonts w:ascii="Calibri" w:hAnsi="Calibri" w:cs="Calibri"/>
        </w:rPr>
        <w:t xml:space="preserve"> un bassin d’emploi éloigné ou trop étroit pour les emplois proposés. </w:t>
      </w:r>
      <w:r w:rsidR="008958BD">
        <w:rPr>
          <w:rFonts w:ascii="Calibri" w:hAnsi="Calibri" w:cs="Calibri"/>
        </w:rPr>
        <w:t xml:space="preserve">Un tiers d’entre eux évoque également la concurrence d’autres entreprises apparaissant comme plus attractives auprès des candidats. </w:t>
      </w:r>
      <w:r w:rsidR="00ED3418">
        <w:rPr>
          <w:rFonts w:ascii="Calibri" w:hAnsi="Calibri" w:cs="Calibri"/>
        </w:rPr>
        <w:t xml:space="preserve"> </w:t>
      </w:r>
    </w:p>
    <w:p w:rsidR="00044FF6" w:rsidRDefault="00044FF6" w:rsidP="002B1371">
      <w:pPr>
        <w:rPr>
          <w:rFonts w:ascii="Calibri" w:hAnsi="Calibri" w:cs="Calibri"/>
        </w:rPr>
      </w:pPr>
    </w:p>
    <w:p w:rsidR="000A014F" w:rsidRPr="001533D9" w:rsidRDefault="000A014F" w:rsidP="002B1371">
      <w:pPr>
        <w:rPr>
          <w:rFonts w:ascii="Calibri" w:hAnsi="Calibri" w:cs="Calibri"/>
        </w:rPr>
      </w:pPr>
    </w:p>
    <w:p w:rsidR="002B1371" w:rsidRPr="00D52914" w:rsidRDefault="002B1371" w:rsidP="002B1371">
      <w:pPr>
        <w:rPr>
          <w:rFonts w:ascii="Arial Black" w:hAnsi="Arial Black" w:cs="Calibri"/>
          <w:b/>
          <w:bCs/>
          <w:color w:val="632423"/>
        </w:rPr>
      </w:pPr>
      <w:r w:rsidRPr="00D52914">
        <w:rPr>
          <w:rFonts w:ascii="Arial Black" w:hAnsi="Arial Black" w:cs="Calibri"/>
          <w:b/>
          <w:bCs/>
          <w:color w:val="632423"/>
        </w:rPr>
        <w:t xml:space="preserve">Des prévisions d’évolution des recrutements </w:t>
      </w:r>
      <w:r w:rsidR="004F51E7">
        <w:rPr>
          <w:rFonts w:ascii="Arial Black" w:hAnsi="Arial Black" w:cs="Calibri"/>
          <w:b/>
          <w:bCs/>
          <w:color w:val="632423"/>
        </w:rPr>
        <w:t>mieux</w:t>
      </w:r>
      <w:r w:rsidRPr="00D52914">
        <w:rPr>
          <w:rFonts w:ascii="Arial Black" w:hAnsi="Arial Black" w:cs="Calibri"/>
          <w:b/>
          <w:bCs/>
          <w:color w:val="632423"/>
        </w:rPr>
        <w:t xml:space="preserve"> orientées </w:t>
      </w:r>
      <w:r w:rsidR="004F51E7">
        <w:rPr>
          <w:rFonts w:ascii="Arial Black" w:hAnsi="Arial Black" w:cs="Calibri"/>
          <w:b/>
          <w:bCs/>
          <w:color w:val="632423"/>
        </w:rPr>
        <w:t>dans les établissements de 100 salariés et plus que dans les établissements de 50 à 99 salariés</w:t>
      </w:r>
    </w:p>
    <w:p w:rsidR="002B1371" w:rsidRPr="002436B1" w:rsidRDefault="002B1371" w:rsidP="002B1371">
      <w:pPr>
        <w:rPr>
          <w:rFonts w:ascii="Calibri" w:hAnsi="Calibri" w:cs="Calibri"/>
        </w:rPr>
      </w:pPr>
    </w:p>
    <w:p w:rsidR="002B1371" w:rsidRPr="002436B1" w:rsidRDefault="002B1371" w:rsidP="005B69DE">
      <w:pPr>
        <w:jc w:val="center"/>
        <w:rPr>
          <w:rFonts w:ascii="Calibri" w:hAnsi="Calibri" w:cs="Calibri"/>
          <w:b/>
          <w:bCs/>
        </w:rPr>
      </w:pPr>
      <w:r w:rsidRPr="002436B1">
        <w:rPr>
          <w:rFonts w:ascii="Calibri" w:hAnsi="Calibri" w:cs="Calibri"/>
          <w:b/>
          <w:bCs/>
        </w:rPr>
        <w:t>Prévision du niveau des recrutements logistiques par catégorie d’emploi en 201</w:t>
      </w:r>
      <w:r w:rsidR="00FD0325">
        <w:rPr>
          <w:rFonts w:ascii="Calibri" w:hAnsi="Calibri" w:cs="Calibri"/>
          <w:b/>
          <w:bCs/>
        </w:rPr>
        <w:t>5</w:t>
      </w:r>
    </w:p>
    <w:p w:rsidR="002B1371" w:rsidRPr="002436B1" w:rsidRDefault="002B1371" w:rsidP="002B1371">
      <w:pPr>
        <w:rPr>
          <w:rFonts w:ascii="Calibri" w:hAnsi="Calibri" w:cs="Calibri"/>
        </w:rPr>
      </w:pPr>
    </w:p>
    <w:p w:rsidR="002B1371" w:rsidRPr="005B69DE" w:rsidRDefault="002B1371" w:rsidP="002B1371">
      <w:pPr>
        <w:rPr>
          <w:rFonts w:ascii="Calibri" w:hAnsi="Calibri" w:cs="Calibri"/>
          <w:i/>
          <w:iCs/>
          <w:sz w:val="20"/>
        </w:rPr>
      </w:pPr>
      <w:r w:rsidRPr="005B69DE">
        <w:rPr>
          <w:rFonts w:ascii="Calibri" w:hAnsi="Calibri" w:cs="Calibri"/>
          <w:i/>
          <w:iCs/>
          <w:sz w:val="20"/>
        </w:rPr>
        <w:t>Etablissements de 100 salariés et plus</w:t>
      </w:r>
    </w:p>
    <w:tbl>
      <w:tblPr>
        <w:tblStyle w:val="Listemoyenne1-Accent4"/>
        <w:tblW w:w="5000" w:type="pct"/>
        <w:tblLook w:val="04A0" w:firstRow="1" w:lastRow="0" w:firstColumn="1" w:lastColumn="0" w:noHBand="0" w:noVBand="1"/>
      </w:tblPr>
      <w:tblGrid>
        <w:gridCol w:w="2630"/>
        <w:gridCol w:w="1042"/>
        <w:gridCol w:w="1043"/>
        <w:gridCol w:w="1079"/>
        <w:gridCol w:w="1043"/>
        <w:gridCol w:w="1043"/>
        <w:gridCol w:w="1043"/>
        <w:gridCol w:w="1046"/>
        <w:gridCol w:w="1058"/>
        <w:gridCol w:w="1043"/>
        <w:gridCol w:w="1043"/>
        <w:gridCol w:w="986"/>
        <w:gridCol w:w="970"/>
      </w:tblGrid>
      <w:tr w:rsidR="00AB7AD3" w:rsidRPr="00AB7AD3" w:rsidTr="00FD0325">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73" w:type="pct"/>
            <w:tcBorders>
              <w:top w:val="single" w:sz="8" w:space="0" w:color="8064A2" w:themeColor="accent4"/>
              <w:bottom w:val="nil"/>
            </w:tcBorders>
            <w:noWrap/>
            <w:vAlign w:val="center"/>
          </w:tcPr>
          <w:p w:rsidR="002B1371" w:rsidRPr="00AB7AD3" w:rsidRDefault="002B1371" w:rsidP="00D52914">
            <w:pPr>
              <w:rPr>
                <w:rFonts w:asciiTheme="minorHAnsi" w:hAnsiTheme="minorHAnsi" w:cstheme="minorHAnsi"/>
                <w:b w:val="0"/>
                <w:bCs w:val="0"/>
                <w:sz w:val="20"/>
                <w:szCs w:val="20"/>
              </w:rPr>
            </w:pPr>
          </w:p>
        </w:tc>
        <w:tc>
          <w:tcPr>
            <w:tcW w:w="1396" w:type="pct"/>
            <w:gridSpan w:val="4"/>
            <w:tcBorders>
              <w:top w:val="single" w:sz="8" w:space="0" w:color="8064A2" w:themeColor="accent4"/>
              <w:bottom w:val="nil"/>
              <w:right w:val="single" w:sz="4" w:space="0" w:color="8064A2" w:themeColor="accent4"/>
            </w:tcBorders>
            <w:noWrap/>
          </w:tcPr>
          <w:p w:rsidR="002B1371" w:rsidRPr="00AB7AD3" w:rsidRDefault="002B1371"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Cadres</w:t>
            </w:r>
          </w:p>
        </w:tc>
        <w:tc>
          <w:tcPr>
            <w:tcW w:w="1390" w:type="pct"/>
            <w:gridSpan w:val="4"/>
            <w:tcBorders>
              <w:top w:val="single" w:sz="8" w:space="0" w:color="8064A2" w:themeColor="accent4"/>
              <w:left w:val="single" w:sz="4" w:space="0" w:color="8064A2" w:themeColor="accent4"/>
              <w:bottom w:val="nil"/>
              <w:right w:val="single" w:sz="4" w:space="0" w:color="8064A2" w:themeColor="accent4"/>
            </w:tcBorders>
          </w:tcPr>
          <w:p w:rsidR="002B1371" w:rsidRPr="00AB7AD3" w:rsidRDefault="002B1371"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Techniciens/ Agents de maîtrise</w:t>
            </w:r>
          </w:p>
        </w:tc>
        <w:tc>
          <w:tcPr>
            <w:tcW w:w="1341" w:type="pct"/>
            <w:gridSpan w:val="4"/>
            <w:tcBorders>
              <w:top w:val="single" w:sz="8" w:space="0" w:color="8064A2" w:themeColor="accent4"/>
              <w:left w:val="single" w:sz="4" w:space="0" w:color="8064A2" w:themeColor="accent4"/>
              <w:bottom w:val="nil"/>
            </w:tcBorders>
          </w:tcPr>
          <w:p w:rsidR="002B1371" w:rsidRPr="00AB7AD3" w:rsidRDefault="002B1371"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Opérateurs</w:t>
            </w:r>
          </w:p>
        </w:tc>
      </w:tr>
      <w:tr w:rsidR="00FD0325" w:rsidRPr="00AB7AD3" w:rsidTr="00FD0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73" w:type="pct"/>
            <w:tcBorders>
              <w:top w:val="nil"/>
              <w:bottom w:val="single" w:sz="8" w:space="0" w:color="8064A2" w:themeColor="accent4"/>
            </w:tcBorders>
            <w:noWrap/>
            <w:vAlign w:val="center"/>
          </w:tcPr>
          <w:p w:rsidR="00FD0325" w:rsidRPr="00AB7AD3" w:rsidRDefault="00FD0325" w:rsidP="00D52914">
            <w:pPr>
              <w:rPr>
                <w:rFonts w:asciiTheme="minorHAnsi" w:hAnsiTheme="minorHAnsi" w:cstheme="minorHAnsi"/>
                <w:b w:val="0"/>
                <w:bCs w:val="0"/>
                <w:sz w:val="20"/>
                <w:szCs w:val="20"/>
              </w:rPr>
            </w:pP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2012</w:t>
            </w: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2013</w:t>
            </w:r>
          </w:p>
        </w:tc>
        <w:tc>
          <w:tcPr>
            <w:tcW w:w="358"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2014</w:t>
            </w:r>
          </w:p>
        </w:tc>
        <w:tc>
          <w:tcPr>
            <w:tcW w:w="346" w:type="pct"/>
            <w:tcBorders>
              <w:top w:val="nil"/>
              <w:bottom w:val="single" w:sz="8" w:space="0" w:color="8064A2" w:themeColor="accent4"/>
              <w:right w:val="single" w:sz="4" w:space="0" w:color="8064A2" w:themeColor="accent4"/>
            </w:tcBorders>
          </w:tcPr>
          <w:p w:rsidR="00FD0325" w:rsidRPr="00AB7AD3" w:rsidRDefault="00FD0325"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c>
          <w:tcPr>
            <w:tcW w:w="346" w:type="pct"/>
            <w:tcBorders>
              <w:top w:val="nil"/>
              <w:left w:val="single" w:sz="4" w:space="0" w:color="8064A2" w:themeColor="accent4"/>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2012</w:t>
            </w: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2013</w:t>
            </w:r>
          </w:p>
        </w:tc>
        <w:tc>
          <w:tcPr>
            <w:tcW w:w="347"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2014</w:t>
            </w:r>
          </w:p>
        </w:tc>
        <w:tc>
          <w:tcPr>
            <w:tcW w:w="351" w:type="pct"/>
            <w:tcBorders>
              <w:top w:val="nil"/>
              <w:bottom w:val="single" w:sz="8" w:space="0" w:color="8064A2" w:themeColor="accent4"/>
              <w:right w:val="single" w:sz="4" w:space="0" w:color="8064A2" w:themeColor="accent4"/>
            </w:tcBorders>
          </w:tcPr>
          <w:p w:rsidR="00FD0325" w:rsidRPr="00AB7AD3" w:rsidRDefault="00FD0325"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c>
          <w:tcPr>
            <w:tcW w:w="346" w:type="pct"/>
            <w:tcBorders>
              <w:top w:val="nil"/>
              <w:left w:val="single" w:sz="4" w:space="0" w:color="8064A2" w:themeColor="accent4"/>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2012</w:t>
            </w: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2013</w:t>
            </w:r>
          </w:p>
        </w:tc>
        <w:tc>
          <w:tcPr>
            <w:tcW w:w="327"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2014</w:t>
            </w:r>
          </w:p>
        </w:tc>
        <w:tc>
          <w:tcPr>
            <w:tcW w:w="322" w:type="pct"/>
            <w:tcBorders>
              <w:top w:val="nil"/>
              <w:bottom w:val="single" w:sz="8" w:space="0" w:color="8064A2" w:themeColor="accent4"/>
            </w:tcBorders>
          </w:tcPr>
          <w:p w:rsidR="00FD0325" w:rsidRPr="00AB7AD3" w:rsidRDefault="00FD0325"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r>
      <w:tr w:rsidR="00FD0325" w:rsidRPr="00AB7AD3" w:rsidTr="000B1FB7">
        <w:trPr>
          <w:trHeight w:val="345"/>
        </w:trPr>
        <w:tc>
          <w:tcPr>
            <w:cnfStyle w:val="001000000000" w:firstRow="0" w:lastRow="0" w:firstColumn="1" w:lastColumn="0" w:oddVBand="0" w:evenVBand="0" w:oddHBand="0" w:evenHBand="0" w:firstRowFirstColumn="0" w:firstRowLastColumn="0" w:lastRowFirstColumn="0" w:lastRowLastColumn="0"/>
            <w:tcW w:w="873" w:type="pct"/>
            <w:tcBorders>
              <w:top w:val="single" w:sz="8" w:space="0" w:color="8064A2" w:themeColor="accent4"/>
            </w:tcBorders>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Augmentation</w:t>
            </w:r>
          </w:p>
        </w:tc>
        <w:tc>
          <w:tcPr>
            <w:tcW w:w="346" w:type="pct"/>
            <w:tcBorders>
              <w:top w:val="single" w:sz="8" w:space="0" w:color="8064A2" w:themeColor="accent4"/>
            </w:tcBorders>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w:t>
            </w:r>
          </w:p>
        </w:tc>
        <w:tc>
          <w:tcPr>
            <w:tcW w:w="346" w:type="pct"/>
            <w:tcBorders>
              <w:top w:val="single" w:sz="8" w:space="0" w:color="8064A2" w:themeColor="accent4"/>
            </w:tcBorders>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w:t>
            </w:r>
          </w:p>
        </w:tc>
        <w:tc>
          <w:tcPr>
            <w:tcW w:w="358" w:type="pct"/>
            <w:tcBorders>
              <w:top w:val="single" w:sz="8" w:space="0" w:color="8064A2" w:themeColor="accent4"/>
            </w:tcBorders>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w:t>
            </w:r>
          </w:p>
        </w:tc>
        <w:tc>
          <w:tcPr>
            <w:tcW w:w="346" w:type="pct"/>
            <w:tcBorders>
              <w:top w:val="single" w:sz="8" w:space="0" w:color="8064A2" w:themeColor="accent4"/>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2%</w:t>
            </w:r>
          </w:p>
        </w:tc>
        <w:tc>
          <w:tcPr>
            <w:tcW w:w="346" w:type="pct"/>
            <w:tcBorders>
              <w:top w:val="single" w:sz="8" w:space="0" w:color="8064A2" w:themeColor="accent4"/>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w:t>
            </w:r>
          </w:p>
        </w:tc>
        <w:tc>
          <w:tcPr>
            <w:tcW w:w="346"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4%</w:t>
            </w:r>
          </w:p>
        </w:tc>
        <w:tc>
          <w:tcPr>
            <w:tcW w:w="347"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w:t>
            </w:r>
          </w:p>
        </w:tc>
        <w:tc>
          <w:tcPr>
            <w:tcW w:w="351" w:type="pct"/>
            <w:tcBorders>
              <w:top w:val="single" w:sz="8" w:space="0" w:color="8064A2" w:themeColor="accent4"/>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6%</w:t>
            </w:r>
          </w:p>
        </w:tc>
        <w:tc>
          <w:tcPr>
            <w:tcW w:w="346" w:type="pct"/>
            <w:tcBorders>
              <w:top w:val="single" w:sz="8" w:space="0" w:color="8064A2" w:themeColor="accent4"/>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13%</w:t>
            </w:r>
          </w:p>
        </w:tc>
        <w:tc>
          <w:tcPr>
            <w:tcW w:w="346"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13%</w:t>
            </w:r>
          </w:p>
        </w:tc>
        <w:tc>
          <w:tcPr>
            <w:tcW w:w="327"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13%</w:t>
            </w:r>
          </w:p>
        </w:tc>
        <w:tc>
          <w:tcPr>
            <w:tcW w:w="322" w:type="pct"/>
            <w:tcBorders>
              <w:top w:val="single" w:sz="8"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13%</w:t>
            </w:r>
          </w:p>
        </w:tc>
      </w:tr>
      <w:tr w:rsidR="00FD0325" w:rsidRPr="00AB7AD3" w:rsidTr="000B1F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3" w:type="pct"/>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Stabilité</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73%</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79%</w:t>
            </w:r>
          </w:p>
        </w:tc>
        <w:tc>
          <w:tcPr>
            <w:tcW w:w="358"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75%</w:t>
            </w:r>
          </w:p>
        </w:tc>
        <w:tc>
          <w:tcPr>
            <w:tcW w:w="346" w:type="pct"/>
            <w:tcBorders>
              <w:top w:val="nil"/>
              <w:bottom w:val="nil"/>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84%</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74%</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78%</w:t>
            </w:r>
          </w:p>
        </w:tc>
        <w:tc>
          <w:tcPr>
            <w:tcW w:w="34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75%</w:t>
            </w:r>
          </w:p>
        </w:tc>
        <w:tc>
          <w:tcPr>
            <w:tcW w:w="351" w:type="pct"/>
            <w:tcBorders>
              <w:top w:val="nil"/>
              <w:bottom w:val="nil"/>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81%</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66%</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70%</w:t>
            </w:r>
          </w:p>
        </w:tc>
        <w:tc>
          <w:tcPr>
            <w:tcW w:w="32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70%</w:t>
            </w:r>
          </w:p>
        </w:tc>
        <w:tc>
          <w:tcPr>
            <w:tcW w:w="322" w:type="pct"/>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74%</w:t>
            </w:r>
          </w:p>
        </w:tc>
      </w:tr>
      <w:tr w:rsidR="00FD0325" w:rsidRPr="00AB7AD3" w:rsidTr="000B1FB7">
        <w:trPr>
          <w:trHeight w:val="345"/>
        </w:trPr>
        <w:tc>
          <w:tcPr>
            <w:cnfStyle w:val="001000000000" w:firstRow="0" w:lastRow="0" w:firstColumn="1" w:lastColumn="0" w:oddVBand="0" w:evenVBand="0" w:oddHBand="0" w:evenHBand="0" w:firstRowFirstColumn="0" w:firstRowLastColumn="0" w:lastRowFirstColumn="0" w:lastRowLastColumn="0"/>
            <w:tcW w:w="873" w:type="pct"/>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Diminution</w:t>
            </w:r>
          </w:p>
        </w:tc>
        <w:tc>
          <w:tcPr>
            <w:tcW w:w="346" w:type="pct"/>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w:t>
            </w:r>
          </w:p>
        </w:tc>
        <w:tc>
          <w:tcPr>
            <w:tcW w:w="346" w:type="pct"/>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4%</w:t>
            </w:r>
          </w:p>
        </w:tc>
        <w:tc>
          <w:tcPr>
            <w:tcW w:w="358" w:type="pct"/>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w:t>
            </w:r>
          </w:p>
        </w:tc>
        <w:tc>
          <w:tcPr>
            <w:tcW w:w="346" w:type="pct"/>
            <w:tcBorders>
              <w:top w:val="nil"/>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3%</w:t>
            </w:r>
          </w:p>
        </w:tc>
        <w:tc>
          <w:tcPr>
            <w:tcW w:w="346" w:type="pct"/>
            <w:tcBorders>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w:t>
            </w:r>
          </w:p>
        </w:tc>
        <w:tc>
          <w:tcPr>
            <w:tcW w:w="346"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w:t>
            </w:r>
          </w:p>
        </w:tc>
        <w:tc>
          <w:tcPr>
            <w:tcW w:w="347"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w:t>
            </w:r>
          </w:p>
        </w:tc>
        <w:tc>
          <w:tcPr>
            <w:tcW w:w="351" w:type="pct"/>
            <w:tcBorders>
              <w:top w:val="nil"/>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3%</w:t>
            </w:r>
          </w:p>
        </w:tc>
        <w:tc>
          <w:tcPr>
            <w:tcW w:w="346" w:type="pct"/>
            <w:tcBorders>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4%</w:t>
            </w:r>
          </w:p>
        </w:tc>
        <w:tc>
          <w:tcPr>
            <w:tcW w:w="346"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w:t>
            </w:r>
          </w:p>
        </w:tc>
        <w:tc>
          <w:tcPr>
            <w:tcW w:w="327"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w:t>
            </w:r>
          </w:p>
        </w:tc>
        <w:tc>
          <w:tcPr>
            <w:tcW w:w="322" w:type="pct"/>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6%</w:t>
            </w:r>
          </w:p>
        </w:tc>
      </w:tr>
      <w:tr w:rsidR="00FD0325" w:rsidRPr="00AB7AD3" w:rsidTr="000B1F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3" w:type="pct"/>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Ne sait pas</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21%</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15%</w:t>
            </w:r>
          </w:p>
        </w:tc>
        <w:tc>
          <w:tcPr>
            <w:tcW w:w="358"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19%</w:t>
            </w:r>
          </w:p>
        </w:tc>
        <w:tc>
          <w:tcPr>
            <w:tcW w:w="346" w:type="pct"/>
            <w:tcBorders>
              <w:top w:val="nil"/>
              <w:bottom w:val="single" w:sz="8" w:space="0" w:color="8064A2" w:themeColor="accent4"/>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6%</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19%</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12%</w:t>
            </w:r>
          </w:p>
        </w:tc>
        <w:tc>
          <w:tcPr>
            <w:tcW w:w="34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16%</w:t>
            </w:r>
          </w:p>
        </w:tc>
        <w:tc>
          <w:tcPr>
            <w:tcW w:w="351" w:type="pct"/>
            <w:tcBorders>
              <w:top w:val="nil"/>
              <w:bottom w:val="single" w:sz="8" w:space="0" w:color="8064A2" w:themeColor="accent4"/>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6%</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17%</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11%</w:t>
            </w:r>
          </w:p>
        </w:tc>
        <w:tc>
          <w:tcPr>
            <w:tcW w:w="32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14%</w:t>
            </w:r>
          </w:p>
        </w:tc>
        <w:tc>
          <w:tcPr>
            <w:tcW w:w="322" w:type="pct"/>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6%</w:t>
            </w:r>
          </w:p>
        </w:tc>
      </w:tr>
    </w:tbl>
    <w:p w:rsidR="002B1371" w:rsidRPr="002436B1" w:rsidRDefault="002B1371" w:rsidP="002B1371">
      <w:pPr>
        <w:rPr>
          <w:rFonts w:ascii="Calibri" w:hAnsi="Calibri" w:cs="Calibri"/>
        </w:rPr>
      </w:pPr>
    </w:p>
    <w:p w:rsidR="002B1371" w:rsidRPr="005B69DE" w:rsidRDefault="002B1371" w:rsidP="002B1371">
      <w:pPr>
        <w:rPr>
          <w:rFonts w:ascii="Calibri" w:hAnsi="Calibri" w:cs="Calibri"/>
          <w:i/>
          <w:iCs/>
          <w:sz w:val="20"/>
        </w:rPr>
      </w:pPr>
      <w:r w:rsidRPr="005B69DE">
        <w:rPr>
          <w:rFonts w:ascii="Calibri" w:hAnsi="Calibri" w:cs="Calibri"/>
          <w:i/>
          <w:iCs/>
          <w:sz w:val="20"/>
        </w:rPr>
        <w:t>Etablissements de 50 à 99 salariés</w:t>
      </w:r>
    </w:p>
    <w:tbl>
      <w:tblPr>
        <w:tblStyle w:val="Listemoyenne1-Accent4"/>
        <w:tblW w:w="5000" w:type="pct"/>
        <w:tblLook w:val="04A0" w:firstRow="1" w:lastRow="0" w:firstColumn="1" w:lastColumn="0" w:noHBand="0" w:noVBand="1"/>
      </w:tblPr>
      <w:tblGrid>
        <w:gridCol w:w="2630"/>
        <w:gridCol w:w="1042"/>
        <w:gridCol w:w="1043"/>
        <w:gridCol w:w="1079"/>
        <w:gridCol w:w="1043"/>
        <w:gridCol w:w="1043"/>
        <w:gridCol w:w="1043"/>
        <w:gridCol w:w="1046"/>
        <w:gridCol w:w="1058"/>
        <w:gridCol w:w="1043"/>
        <w:gridCol w:w="1043"/>
        <w:gridCol w:w="986"/>
        <w:gridCol w:w="970"/>
      </w:tblGrid>
      <w:tr w:rsidR="00AB7AD3" w:rsidRPr="00AB7AD3" w:rsidTr="00FD0325">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873" w:type="pct"/>
            <w:tcBorders>
              <w:top w:val="single" w:sz="8" w:space="0" w:color="8064A2" w:themeColor="accent4"/>
              <w:bottom w:val="nil"/>
            </w:tcBorders>
            <w:noWrap/>
            <w:vAlign w:val="center"/>
          </w:tcPr>
          <w:p w:rsidR="002B1371" w:rsidRPr="00AB7AD3" w:rsidRDefault="002B1371" w:rsidP="00D52914">
            <w:pPr>
              <w:rPr>
                <w:rFonts w:asciiTheme="minorHAnsi" w:hAnsiTheme="minorHAnsi" w:cstheme="minorHAnsi"/>
                <w:b w:val="0"/>
                <w:bCs w:val="0"/>
                <w:sz w:val="20"/>
                <w:szCs w:val="20"/>
              </w:rPr>
            </w:pPr>
            <w:r w:rsidRPr="00AB7AD3">
              <w:rPr>
                <w:rFonts w:asciiTheme="minorHAnsi" w:hAnsiTheme="minorHAnsi" w:cstheme="minorHAnsi"/>
                <w:b w:val="0"/>
                <w:bCs w:val="0"/>
                <w:sz w:val="20"/>
                <w:szCs w:val="20"/>
              </w:rPr>
              <w:t> </w:t>
            </w:r>
          </w:p>
        </w:tc>
        <w:tc>
          <w:tcPr>
            <w:tcW w:w="1396" w:type="pct"/>
            <w:gridSpan w:val="4"/>
            <w:tcBorders>
              <w:top w:val="single" w:sz="8" w:space="0" w:color="8064A2" w:themeColor="accent4"/>
              <w:bottom w:val="nil"/>
              <w:right w:val="single" w:sz="4" w:space="0" w:color="8064A2" w:themeColor="accent4"/>
            </w:tcBorders>
            <w:noWrap/>
          </w:tcPr>
          <w:p w:rsidR="002B1371" w:rsidRPr="00AB7AD3" w:rsidRDefault="002B1371"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Cadres</w:t>
            </w:r>
          </w:p>
        </w:tc>
        <w:tc>
          <w:tcPr>
            <w:tcW w:w="1390" w:type="pct"/>
            <w:gridSpan w:val="4"/>
            <w:tcBorders>
              <w:top w:val="single" w:sz="8" w:space="0" w:color="8064A2" w:themeColor="accent4"/>
              <w:left w:val="single" w:sz="4" w:space="0" w:color="8064A2" w:themeColor="accent4"/>
              <w:bottom w:val="nil"/>
              <w:right w:val="single" w:sz="4" w:space="0" w:color="8064A2" w:themeColor="accent4"/>
            </w:tcBorders>
          </w:tcPr>
          <w:p w:rsidR="002B1371" w:rsidRPr="00AB7AD3" w:rsidRDefault="002B1371"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Techniciens/ Agents de maîtrise</w:t>
            </w:r>
          </w:p>
        </w:tc>
        <w:tc>
          <w:tcPr>
            <w:tcW w:w="1341" w:type="pct"/>
            <w:gridSpan w:val="4"/>
            <w:tcBorders>
              <w:top w:val="single" w:sz="8" w:space="0" w:color="8064A2" w:themeColor="accent4"/>
              <w:left w:val="single" w:sz="4" w:space="0" w:color="8064A2" w:themeColor="accent4"/>
              <w:bottom w:val="nil"/>
            </w:tcBorders>
          </w:tcPr>
          <w:p w:rsidR="002B1371" w:rsidRPr="00AB7AD3" w:rsidRDefault="002B1371" w:rsidP="00F32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Opérateurs</w:t>
            </w:r>
          </w:p>
        </w:tc>
      </w:tr>
      <w:tr w:rsidR="00FD0325" w:rsidRPr="00AB7AD3" w:rsidTr="00FD0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73" w:type="pct"/>
            <w:tcBorders>
              <w:top w:val="nil"/>
              <w:bottom w:val="single" w:sz="8" w:space="0" w:color="8064A2" w:themeColor="accent4"/>
            </w:tcBorders>
            <w:noWrap/>
            <w:vAlign w:val="center"/>
          </w:tcPr>
          <w:p w:rsidR="00FD0325" w:rsidRPr="00AB7AD3" w:rsidRDefault="00FD0325" w:rsidP="00D52914">
            <w:pPr>
              <w:rPr>
                <w:rFonts w:asciiTheme="minorHAnsi" w:hAnsiTheme="minorHAnsi" w:cstheme="minorHAnsi"/>
                <w:b w:val="0"/>
                <w:bCs w:val="0"/>
                <w:sz w:val="20"/>
                <w:szCs w:val="20"/>
              </w:rPr>
            </w:pP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2012</w:t>
            </w: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2013</w:t>
            </w:r>
          </w:p>
        </w:tc>
        <w:tc>
          <w:tcPr>
            <w:tcW w:w="358"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2014</w:t>
            </w:r>
          </w:p>
        </w:tc>
        <w:tc>
          <w:tcPr>
            <w:tcW w:w="346" w:type="pct"/>
            <w:tcBorders>
              <w:top w:val="nil"/>
              <w:bottom w:val="single" w:sz="8" w:space="0" w:color="8064A2" w:themeColor="accent4"/>
              <w:right w:val="single" w:sz="4" w:space="0" w:color="8064A2" w:themeColor="accent4"/>
            </w:tcBorders>
          </w:tcPr>
          <w:p w:rsidR="00FD0325" w:rsidRPr="00AB7AD3" w:rsidRDefault="00FD0325"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c>
          <w:tcPr>
            <w:tcW w:w="346" w:type="pct"/>
            <w:tcBorders>
              <w:top w:val="nil"/>
              <w:left w:val="single" w:sz="4" w:space="0" w:color="8064A2" w:themeColor="accent4"/>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2012</w:t>
            </w: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2013</w:t>
            </w:r>
          </w:p>
        </w:tc>
        <w:tc>
          <w:tcPr>
            <w:tcW w:w="347"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2014</w:t>
            </w:r>
          </w:p>
        </w:tc>
        <w:tc>
          <w:tcPr>
            <w:tcW w:w="351" w:type="pct"/>
            <w:tcBorders>
              <w:top w:val="nil"/>
              <w:bottom w:val="single" w:sz="8" w:space="0" w:color="8064A2" w:themeColor="accent4"/>
              <w:right w:val="single" w:sz="4" w:space="0" w:color="8064A2" w:themeColor="accent4"/>
            </w:tcBorders>
          </w:tcPr>
          <w:p w:rsidR="00FD0325" w:rsidRPr="00AB7AD3" w:rsidRDefault="00FD0325"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c>
          <w:tcPr>
            <w:tcW w:w="346" w:type="pct"/>
            <w:tcBorders>
              <w:top w:val="nil"/>
              <w:left w:val="single" w:sz="4" w:space="0" w:color="8064A2" w:themeColor="accent4"/>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2012</w:t>
            </w:r>
          </w:p>
        </w:tc>
        <w:tc>
          <w:tcPr>
            <w:tcW w:w="346"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2013</w:t>
            </w:r>
          </w:p>
        </w:tc>
        <w:tc>
          <w:tcPr>
            <w:tcW w:w="327" w:type="pct"/>
            <w:tcBorders>
              <w:top w:val="nil"/>
              <w:bottom w:val="single" w:sz="8" w:space="0" w:color="8064A2" w:themeColor="accent4"/>
            </w:tcBorders>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2014</w:t>
            </w:r>
          </w:p>
        </w:tc>
        <w:tc>
          <w:tcPr>
            <w:tcW w:w="322" w:type="pct"/>
            <w:tcBorders>
              <w:top w:val="nil"/>
              <w:bottom w:val="single" w:sz="8" w:space="0" w:color="8064A2" w:themeColor="accent4"/>
            </w:tcBorders>
          </w:tcPr>
          <w:p w:rsidR="00FD0325" w:rsidRPr="00AB7AD3" w:rsidRDefault="00FD0325" w:rsidP="00F328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r>
      <w:tr w:rsidR="00FD0325" w:rsidRPr="00AB7AD3" w:rsidTr="000B1FB7">
        <w:trPr>
          <w:trHeight w:val="345"/>
        </w:trPr>
        <w:tc>
          <w:tcPr>
            <w:cnfStyle w:val="001000000000" w:firstRow="0" w:lastRow="0" w:firstColumn="1" w:lastColumn="0" w:oddVBand="0" w:evenVBand="0" w:oddHBand="0" w:evenHBand="0" w:firstRowFirstColumn="0" w:firstRowLastColumn="0" w:lastRowFirstColumn="0" w:lastRowLastColumn="0"/>
            <w:tcW w:w="873" w:type="pct"/>
            <w:tcBorders>
              <w:top w:val="single" w:sz="8" w:space="0" w:color="8064A2" w:themeColor="accent4"/>
            </w:tcBorders>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Augmentation</w:t>
            </w:r>
          </w:p>
        </w:tc>
        <w:tc>
          <w:tcPr>
            <w:tcW w:w="346" w:type="pct"/>
            <w:tcBorders>
              <w:top w:val="single" w:sz="8" w:space="0" w:color="8064A2" w:themeColor="accent4"/>
            </w:tcBorders>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0%</w:t>
            </w:r>
          </w:p>
        </w:tc>
        <w:tc>
          <w:tcPr>
            <w:tcW w:w="346" w:type="pct"/>
            <w:tcBorders>
              <w:top w:val="single" w:sz="8" w:space="0" w:color="8064A2" w:themeColor="accent4"/>
            </w:tcBorders>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w:t>
            </w:r>
          </w:p>
        </w:tc>
        <w:tc>
          <w:tcPr>
            <w:tcW w:w="358" w:type="pct"/>
            <w:tcBorders>
              <w:top w:val="single" w:sz="8" w:space="0" w:color="8064A2" w:themeColor="accent4"/>
            </w:tcBorders>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w:t>
            </w:r>
          </w:p>
        </w:tc>
        <w:tc>
          <w:tcPr>
            <w:tcW w:w="346" w:type="pct"/>
            <w:tcBorders>
              <w:top w:val="single" w:sz="8" w:space="0" w:color="8064A2" w:themeColor="accent4"/>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0%</w:t>
            </w:r>
          </w:p>
        </w:tc>
        <w:tc>
          <w:tcPr>
            <w:tcW w:w="346" w:type="pct"/>
            <w:tcBorders>
              <w:top w:val="single" w:sz="8" w:space="0" w:color="8064A2" w:themeColor="accent4"/>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0%</w:t>
            </w:r>
          </w:p>
        </w:tc>
        <w:tc>
          <w:tcPr>
            <w:tcW w:w="346"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w:t>
            </w:r>
          </w:p>
        </w:tc>
        <w:tc>
          <w:tcPr>
            <w:tcW w:w="347"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11%</w:t>
            </w:r>
          </w:p>
        </w:tc>
        <w:tc>
          <w:tcPr>
            <w:tcW w:w="351" w:type="pct"/>
            <w:tcBorders>
              <w:top w:val="single" w:sz="8" w:space="0" w:color="8064A2" w:themeColor="accent4"/>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3%</w:t>
            </w:r>
          </w:p>
        </w:tc>
        <w:tc>
          <w:tcPr>
            <w:tcW w:w="346" w:type="pct"/>
            <w:tcBorders>
              <w:top w:val="single" w:sz="8" w:space="0" w:color="8064A2" w:themeColor="accent4"/>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12%</w:t>
            </w:r>
          </w:p>
        </w:tc>
        <w:tc>
          <w:tcPr>
            <w:tcW w:w="346"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12%</w:t>
            </w:r>
          </w:p>
        </w:tc>
        <w:tc>
          <w:tcPr>
            <w:tcW w:w="327" w:type="pct"/>
            <w:tcBorders>
              <w:top w:val="single" w:sz="8"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13%</w:t>
            </w:r>
          </w:p>
        </w:tc>
        <w:tc>
          <w:tcPr>
            <w:tcW w:w="322" w:type="pct"/>
            <w:tcBorders>
              <w:top w:val="single" w:sz="8"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10%</w:t>
            </w:r>
          </w:p>
        </w:tc>
      </w:tr>
      <w:tr w:rsidR="00FD0325" w:rsidRPr="00AB7AD3" w:rsidTr="000B1F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3" w:type="pct"/>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Stabilité</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58%</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61%</w:t>
            </w:r>
          </w:p>
        </w:tc>
        <w:tc>
          <w:tcPr>
            <w:tcW w:w="358"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68%</w:t>
            </w:r>
          </w:p>
        </w:tc>
        <w:tc>
          <w:tcPr>
            <w:tcW w:w="346" w:type="pct"/>
            <w:tcBorders>
              <w:top w:val="nil"/>
              <w:bottom w:val="nil"/>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87%</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63%</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64%</w:t>
            </w:r>
          </w:p>
        </w:tc>
        <w:tc>
          <w:tcPr>
            <w:tcW w:w="34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62%</w:t>
            </w:r>
          </w:p>
        </w:tc>
        <w:tc>
          <w:tcPr>
            <w:tcW w:w="351" w:type="pct"/>
            <w:tcBorders>
              <w:top w:val="nil"/>
              <w:bottom w:val="nil"/>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85%</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57%</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57%</w:t>
            </w:r>
          </w:p>
        </w:tc>
        <w:tc>
          <w:tcPr>
            <w:tcW w:w="32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73%</w:t>
            </w:r>
          </w:p>
        </w:tc>
        <w:tc>
          <w:tcPr>
            <w:tcW w:w="322" w:type="pct"/>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73%</w:t>
            </w:r>
          </w:p>
        </w:tc>
      </w:tr>
      <w:tr w:rsidR="00FD0325" w:rsidRPr="00AB7AD3" w:rsidTr="000B1FB7">
        <w:trPr>
          <w:trHeight w:val="345"/>
        </w:trPr>
        <w:tc>
          <w:tcPr>
            <w:cnfStyle w:val="001000000000" w:firstRow="0" w:lastRow="0" w:firstColumn="1" w:lastColumn="0" w:oddVBand="0" w:evenVBand="0" w:oddHBand="0" w:evenHBand="0" w:firstRowFirstColumn="0" w:firstRowLastColumn="0" w:lastRowFirstColumn="0" w:lastRowLastColumn="0"/>
            <w:tcW w:w="873" w:type="pct"/>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Diminution</w:t>
            </w:r>
          </w:p>
        </w:tc>
        <w:tc>
          <w:tcPr>
            <w:tcW w:w="346" w:type="pct"/>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0%</w:t>
            </w:r>
          </w:p>
        </w:tc>
        <w:tc>
          <w:tcPr>
            <w:tcW w:w="346" w:type="pct"/>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w:t>
            </w:r>
          </w:p>
        </w:tc>
        <w:tc>
          <w:tcPr>
            <w:tcW w:w="358" w:type="pct"/>
            <w:vAlign w:val="center"/>
          </w:tcPr>
          <w:p w:rsidR="00FD0325" w:rsidRPr="00AB7AD3" w:rsidRDefault="00FD0325" w:rsidP="00EF22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w:t>
            </w:r>
          </w:p>
        </w:tc>
        <w:tc>
          <w:tcPr>
            <w:tcW w:w="346" w:type="pct"/>
            <w:tcBorders>
              <w:top w:val="nil"/>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3%</w:t>
            </w:r>
          </w:p>
        </w:tc>
        <w:tc>
          <w:tcPr>
            <w:tcW w:w="346" w:type="pct"/>
            <w:tcBorders>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0%</w:t>
            </w:r>
          </w:p>
        </w:tc>
        <w:tc>
          <w:tcPr>
            <w:tcW w:w="346"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w:t>
            </w:r>
          </w:p>
        </w:tc>
        <w:tc>
          <w:tcPr>
            <w:tcW w:w="347"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1%</w:t>
            </w:r>
          </w:p>
        </w:tc>
        <w:tc>
          <w:tcPr>
            <w:tcW w:w="351" w:type="pct"/>
            <w:tcBorders>
              <w:top w:val="nil"/>
              <w:bottom w:val="nil"/>
              <w:right w:val="single" w:sz="4" w:space="0" w:color="8064A2" w:themeColor="accent4"/>
            </w:tcBorders>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4%</w:t>
            </w:r>
          </w:p>
        </w:tc>
        <w:tc>
          <w:tcPr>
            <w:tcW w:w="346" w:type="pct"/>
            <w:tcBorders>
              <w:left w:val="single" w:sz="4" w:space="0" w:color="8064A2" w:themeColor="accent4"/>
            </w:tcBorders>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5%</w:t>
            </w:r>
          </w:p>
        </w:tc>
        <w:tc>
          <w:tcPr>
            <w:tcW w:w="346"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7%</w:t>
            </w:r>
          </w:p>
        </w:tc>
        <w:tc>
          <w:tcPr>
            <w:tcW w:w="327" w:type="pct"/>
            <w:vAlign w:val="center"/>
          </w:tcPr>
          <w:p w:rsidR="00FD0325" w:rsidRPr="00AB7AD3"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6%</w:t>
            </w:r>
          </w:p>
        </w:tc>
        <w:tc>
          <w:tcPr>
            <w:tcW w:w="322" w:type="pct"/>
            <w:vAlign w:val="center"/>
          </w:tcPr>
          <w:p w:rsidR="00FD0325" w:rsidRPr="000B1FB7" w:rsidRDefault="00FD0325" w:rsidP="000B1F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12%</w:t>
            </w:r>
          </w:p>
        </w:tc>
      </w:tr>
      <w:tr w:rsidR="00FD0325" w:rsidRPr="00AB7AD3" w:rsidTr="000B1F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3" w:type="pct"/>
            <w:noWrap/>
            <w:vAlign w:val="center"/>
          </w:tcPr>
          <w:p w:rsidR="00FD0325" w:rsidRPr="00AB7AD3" w:rsidRDefault="00FD0325" w:rsidP="00D52914">
            <w:pPr>
              <w:ind w:left="30"/>
              <w:rPr>
                <w:rFonts w:asciiTheme="minorHAnsi" w:hAnsiTheme="minorHAnsi" w:cstheme="minorHAnsi"/>
                <w:b w:val="0"/>
                <w:bCs w:val="0"/>
                <w:sz w:val="20"/>
                <w:szCs w:val="20"/>
              </w:rPr>
            </w:pPr>
            <w:r w:rsidRPr="00AB7AD3">
              <w:rPr>
                <w:rFonts w:asciiTheme="minorHAnsi" w:hAnsiTheme="minorHAnsi" w:cstheme="minorHAnsi"/>
                <w:b w:val="0"/>
                <w:bCs w:val="0"/>
                <w:sz w:val="20"/>
                <w:szCs w:val="20"/>
              </w:rPr>
              <w:t>Ne sait pas</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41%</w:t>
            </w:r>
          </w:p>
        </w:tc>
        <w:tc>
          <w:tcPr>
            <w:tcW w:w="346"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31%</w:t>
            </w:r>
          </w:p>
        </w:tc>
        <w:tc>
          <w:tcPr>
            <w:tcW w:w="358" w:type="pct"/>
            <w:vAlign w:val="center"/>
          </w:tcPr>
          <w:p w:rsidR="00FD0325" w:rsidRPr="00AB7AD3" w:rsidRDefault="00FD0325" w:rsidP="00EF22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28%</w:t>
            </w:r>
          </w:p>
        </w:tc>
        <w:tc>
          <w:tcPr>
            <w:tcW w:w="346" w:type="pct"/>
            <w:tcBorders>
              <w:top w:val="nil"/>
              <w:bottom w:val="single" w:sz="8" w:space="0" w:color="8064A2" w:themeColor="accent4"/>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2%</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36%</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25%</w:t>
            </w:r>
          </w:p>
        </w:tc>
        <w:tc>
          <w:tcPr>
            <w:tcW w:w="34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25%</w:t>
            </w:r>
          </w:p>
        </w:tc>
        <w:tc>
          <w:tcPr>
            <w:tcW w:w="351" w:type="pct"/>
            <w:tcBorders>
              <w:top w:val="nil"/>
              <w:bottom w:val="single" w:sz="8" w:space="0" w:color="8064A2" w:themeColor="accent4"/>
              <w:right w:val="single" w:sz="4" w:space="0" w:color="8064A2" w:themeColor="accent4"/>
            </w:tcBorders>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2%</w:t>
            </w:r>
          </w:p>
        </w:tc>
        <w:tc>
          <w:tcPr>
            <w:tcW w:w="346" w:type="pct"/>
            <w:tcBorders>
              <w:left w:val="single" w:sz="4" w:space="0" w:color="8064A2" w:themeColor="accent4"/>
            </w:tcBorders>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26%</w:t>
            </w:r>
          </w:p>
        </w:tc>
        <w:tc>
          <w:tcPr>
            <w:tcW w:w="346"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25%</w:t>
            </w:r>
          </w:p>
        </w:tc>
        <w:tc>
          <w:tcPr>
            <w:tcW w:w="327" w:type="pct"/>
            <w:vAlign w:val="center"/>
          </w:tcPr>
          <w:p w:rsidR="00FD0325" w:rsidRPr="00AB7AD3"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AB7AD3">
              <w:rPr>
                <w:rFonts w:asciiTheme="minorHAnsi" w:hAnsiTheme="minorHAnsi" w:cstheme="minorHAnsi"/>
                <w:bCs/>
                <w:sz w:val="20"/>
                <w:szCs w:val="20"/>
              </w:rPr>
              <w:t>9%</w:t>
            </w:r>
          </w:p>
        </w:tc>
        <w:tc>
          <w:tcPr>
            <w:tcW w:w="322" w:type="pct"/>
            <w:vAlign w:val="center"/>
          </w:tcPr>
          <w:p w:rsidR="00FD0325" w:rsidRPr="000B1FB7" w:rsidRDefault="00FD0325" w:rsidP="000B1F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0B1FB7">
              <w:rPr>
                <w:rFonts w:asciiTheme="minorHAnsi" w:hAnsiTheme="minorHAnsi" w:cstheme="minorHAnsi"/>
                <w:bCs/>
                <w:sz w:val="20"/>
                <w:szCs w:val="20"/>
              </w:rPr>
              <w:t>2%</w:t>
            </w:r>
          </w:p>
        </w:tc>
      </w:tr>
    </w:tbl>
    <w:p w:rsidR="002B1371" w:rsidRPr="002436B1" w:rsidRDefault="002B1371" w:rsidP="002B1371">
      <w:pPr>
        <w:jc w:val="both"/>
        <w:rPr>
          <w:rFonts w:ascii="Calibri" w:hAnsi="Calibri" w:cs="Calibri"/>
        </w:rPr>
      </w:pPr>
    </w:p>
    <w:p w:rsidR="002B1371" w:rsidRDefault="004F51E7" w:rsidP="002B1371">
      <w:pPr>
        <w:jc w:val="both"/>
        <w:rPr>
          <w:rFonts w:ascii="Calibri" w:hAnsi="Calibri" w:cs="Calibri"/>
        </w:rPr>
      </w:pPr>
      <w:r>
        <w:rPr>
          <w:rFonts w:ascii="Calibri" w:hAnsi="Calibri" w:cs="Calibri"/>
        </w:rPr>
        <w:t>Quelle</w:t>
      </w:r>
      <w:r w:rsidR="00E73675">
        <w:rPr>
          <w:rFonts w:ascii="Calibri" w:hAnsi="Calibri" w:cs="Calibri"/>
        </w:rPr>
        <w:t>s</w:t>
      </w:r>
      <w:r>
        <w:rPr>
          <w:rFonts w:ascii="Calibri" w:hAnsi="Calibri" w:cs="Calibri"/>
        </w:rPr>
        <w:t xml:space="preserve"> que soi</w:t>
      </w:r>
      <w:r w:rsidR="00E73675">
        <w:rPr>
          <w:rFonts w:ascii="Calibri" w:hAnsi="Calibri" w:cs="Calibri"/>
        </w:rPr>
        <w:t>en</w:t>
      </w:r>
      <w:r>
        <w:rPr>
          <w:rFonts w:ascii="Calibri" w:hAnsi="Calibri" w:cs="Calibri"/>
        </w:rPr>
        <w:t xml:space="preserve">t les catégories d’emploi considérées, </w:t>
      </w:r>
      <w:r w:rsidR="00E73675">
        <w:rPr>
          <w:rFonts w:ascii="Calibri" w:hAnsi="Calibri" w:cs="Calibri"/>
        </w:rPr>
        <w:t>les établissements de moins de 100 salariés</w:t>
      </w:r>
      <w:r w:rsidR="00005FDB">
        <w:rPr>
          <w:rFonts w:ascii="Calibri" w:hAnsi="Calibri" w:cs="Calibri"/>
        </w:rPr>
        <w:t xml:space="preserve"> sont plus nombreux à anticiper en 2015 une baisse des recrutements du personnel logistique que leur augmentation : ainsi, pour les opérateurs logistiques, 12% prévoient une diminution des recrutements, et 10% leur progression. </w:t>
      </w:r>
    </w:p>
    <w:p w:rsidR="00005FDB" w:rsidRDefault="00005FDB" w:rsidP="002B1371">
      <w:pPr>
        <w:jc w:val="both"/>
        <w:rPr>
          <w:rFonts w:ascii="Calibri" w:hAnsi="Calibri" w:cs="Calibri"/>
        </w:rPr>
      </w:pPr>
    </w:p>
    <w:p w:rsidR="00005FDB" w:rsidRDefault="00005FDB" w:rsidP="002B1371">
      <w:pPr>
        <w:jc w:val="both"/>
        <w:rPr>
          <w:rFonts w:ascii="Calibri" w:hAnsi="Calibri" w:cs="Calibri"/>
        </w:rPr>
      </w:pPr>
      <w:r>
        <w:rPr>
          <w:rFonts w:ascii="Calibri" w:hAnsi="Calibri" w:cs="Calibri"/>
        </w:rPr>
        <w:t>Les prévisions des établissements de 100 salariés et plus sont mieux orientées, au moins pour les recrutements de techniciens</w:t>
      </w:r>
      <w:r w:rsidR="00023D43">
        <w:rPr>
          <w:rFonts w:ascii="Calibri" w:hAnsi="Calibri" w:cs="Calibri"/>
        </w:rPr>
        <w:t>/</w:t>
      </w:r>
      <w:r>
        <w:rPr>
          <w:rFonts w:ascii="Calibri" w:hAnsi="Calibri" w:cs="Calibri"/>
        </w:rPr>
        <w:t>agents de maîtrise et d</w:t>
      </w:r>
      <w:r w:rsidR="00DA361F">
        <w:rPr>
          <w:rFonts w:ascii="Calibri" w:hAnsi="Calibri" w:cs="Calibri"/>
        </w:rPr>
        <w:t>’</w:t>
      </w:r>
      <w:r>
        <w:rPr>
          <w:rFonts w:ascii="Calibri" w:hAnsi="Calibri" w:cs="Calibri"/>
        </w:rPr>
        <w:t>opérateurs logistiques</w:t>
      </w:r>
      <w:r w:rsidR="00DA361F">
        <w:rPr>
          <w:rFonts w:ascii="Calibri" w:hAnsi="Calibri" w:cs="Calibri"/>
        </w:rPr>
        <w:t xml:space="preserve"> : ils sont ainsi deux fois plus nombreux à tabler sur un accroissement des recrutements d’opérateurs logistiques en 2015 que sur leur réduction. </w:t>
      </w:r>
    </w:p>
    <w:p w:rsidR="004F51E7" w:rsidRPr="002436B1" w:rsidRDefault="004F51E7" w:rsidP="002B1371">
      <w:pPr>
        <w:jc w:val="both"/>
        <w:rPr>
          <w:rFonts w:ascii="Calibri" w:hAnsi="Calibri" w:cs="Calibri"/>
        </w:rPr>
      </w:pPr>
    </w:p>
    <w:p w:rsidR="00DA361F" w:rsidRDefault="00DA361F">
      <w:pPr>
        <w:rPr>
          <w:rFonts w:ascii="Calibri" w:hAnsi="Calibri" w:cs="Calibri"/>
          <w:color w:val="4F6228"/>
          <w:sz w:val="32"/>
          <w:szCs w:val="32"/>
          <w:highlight w:val="lightGray"/>
        </w:rPr>
      </w:pPr>
      <w:r>
        <w:rPr>
          <w:rFonts w:ascii="Calibri" w:hAnsi="Calibri" w:cs="Calibri"/>
          <w:color w:val="4F6228"/>
          <w:sz w:val="32"/>
          <w:szCs w:val="32"/>
          <w:highlight w:val="lightGray"/>
        </w:rPr>
        <w:br w:type="page"/>
      </w:r>
    </w:p>
    <w:p w:rsidR="00AD5019" w:rsidRDefault="00AD5019">
      <w:pPr>
        <w:rPr>
          <w:rFonts w:ascii="Calibri" w:hAnsi="Calibri" w:cs="Calibri"/>
          <w:color w:val="4F6228"/>
          <w:sz w:val="32"/>
          <w:szCs w:val="32"/>
          <w:highlight w:val="lightGray"/>
        </w:rPr>
      </w:pPr>
    </w:p>
    <w:p w:rsidR="002B1371" w:rsidRPr="00520BAE" w:rsidRDefault="002B1371" w:rsidP="00520BAE">
      <w:pPr>
        <w:numPr>
          <w:ilvl w:val="1"/>
          <w:numId w:val="8"/>
        </w:numPr>
        <w:jc w:val="both"/>
        <w:rPr>
          <w:rFonts w:ascii="Calibri" w:hAnsi="Calibri" w:cs="Calibri"/>
          <w:b/>
          <w:color w:val="984806" w:themeColor="accent6" w:themeShade="80"/>
          <w:sz w:val="32"/>
          <w:szCs w:val="32"/>
        </w:rPr>
      </w:pPr>
      <w:r w:rsidRPr="00520BAE">
        <w:rPr>
          <w:rFonts w:ascii="Calibri" w:hAnsi="Calibri" w:cs="Calibri"/>
          <w:b/>
          <w:color w:val="984806" w:themeColor="accent6" w:themeShade="80"/>
          <w:sz w:val="32"/>
          <w:szCs w:val="32"/>
        </w:rPr>
        <w:t>Mobilité interne et gestion des parcours professionnels</w:t>
      </w:r>
    </w:p>
    <w:p w:rsidR="002B1371" w:rsidRPr="002436B1" w:rsidRDefault="002B1371" w:rsidP="002B1371">
      <w:pPr>
        <w:rPr>
          <w:rFonts w:ascii="Calibri" w:hAnsi="Calibri" w:cs="Calibri"/>
          <w:b/>
          <w:bCs/>
          <w:color w:val="4F6228"/>
          <w:sz w:val="32"/>
          <w:szCs w:val="32"/>
        </w:rPr>
      </w:pPr>
    </w:p>
    <w:p w:rsidR="002B1371" w:rsidRPr="00D52914" w:rsidRDefault="000B3E5A" w:rsidP="002B1371">
      <w:pPr>
        <w:rPr>
          <w:rFonts w:ascii="Arial Black" w:hAnsi="Arial Black" w:cs="Calibri"/>
          <w:b/>
          <w:bCs/>
          <w:color w:val="632423"/>
        </w:rPr>
      </w:pPr>
      <w:r>
        <w:rPr>
          <w:rFonts w:ascii="Arial Black" w:hAnsi="Arial Black" w:cs="Calibri"/>
          <w:b/>
          <w:bCs/>
          <w:color w:val="632423"/>
        </w:rPr>
        <w:t xml:space="preserve">37% des établissements de 100 salariés et plus ont pourvu des emplois logistiques par mobilité interne </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ayant pourvu des emplois logistiques</w:t>
      </w:r>
      <w:r w:rsidR="00650C1A">
        <w:rPr>
          <w:rFonts w:ascii="Calibri" w:hAnsi="Calibri" w:cs="Calibri"/>
          <w:b/>
          <w:bCs/>
        </w:rPr>
        <w:t xml:space="preserve"> </w:t>
      </w:r>
      <w:r w:rsidRPr="002436B1">
        <w:rPr>
          <w:rFonts w:ascii="Calibri" w:hAnsi="Calibri" w:cs="Calibri"/>
          <w:b/>
          <w:bCs/>
        </w:rPr>
        <w:t>par mobilité interne</w:t>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i/>
          <w:iCs/>
        </w:rPr>
      </w:pPr>
      <w:r w:rsidRPr="002436B1">
        <w:rPr>
          <w:rFonts w:ascii="Calibri" w:hAnsi="Calibri" w:cs="Calibri"/>
          <w:i/>
          <w:iCs/>
        </w:rPr>
        <w:t xml:space="preserve"> </w:t>
      </w:r>
      <w:r w:rsidR="00FB0A40">
        <w:rPr>
          <w:rFonts w:ascii="Calibri" w:hAnsi="Calibri" w:cs="Calibri"/>
          <w:i/>
          <w:iCs/>
        </w:rPr>
        <w:t xml:space="preserve">            </w:t>
      </w:r>
      <w:r w:rsidRPr="002436B1">
        <w:rPr>
          <w:rFonts w:ascii="Calibri" w:hAnsi="Calibri" w:cs="Calibri"/>
          <w:i/>
          <w:iCs/>
        </w:rPr>
        <w:t xml:space="preserve"> Etablissements de 100 salariés et plus </w:t>
      </w:r>
      <w:r w:rsidRPr="002436B1">
        <w:rPr>
          <w:rFonts w:ascii="Calibri" w:hAnsi="Calibri" w:cs="Calibri"/>
          <w:i/>
          <w:iCs/>
        </w:rPr>
        <w:tab/>
      </w:r>
      <w:r w:rsidRPr="002436B1">
        <w:rPr>
          <w:rFonts w:ascii="Calibri" w:hAnsi="Calibri" w:cs="Calibri"/>
          <w:i/>
          <w:iCs/>
        </w:rPr>
        <w:tab/>
      </w:r>
      <w:r w:rsidRPr="002436B1">
        <w:rPr>
          <w:rFonts w:ascii="Calibri" w:hAnsi="Calibri" w:cs="Calibri"/>
          <w:i/>
          <w:iCs/>
        </w:rPr>
        <w:tab/>
      </w:r>
      <w:r w:rsidR="00FB0A40">
        <w:rPr>
          <w:rFonts w:ascii="Calibri" w:hAnsi="Calibri" w:cs="Calibri"/>
          <w:i/>
          <w:iCs/>
        </w:rPr>
        <w:t xml:space="preserve">                                                             </w:t>
      </w:r>
      <w:r w:rsidRPr="002436B1">
        <w:rPr>
          <w:rFonts w:ascii="Calibri" w:hAnsi="Calibri" w:cs="Calibri"/>
          <w:i/>
          <w:iCs/>
        </w:rPr>
        <w:t>Etablissements de 50 à 99 salariés</w:t>
      </w:r>
    </w:p>
    <w:p w:rsidR="002B1371" w:rsidRDefault="002B1371" w:rsidP="002B1371">
      <w:pPr>
        <w:rPr>
          <w:rFonts w:ascii="Calibri" w:hAnsi="Calibri" w:cs="Calibri"/>
          <w:iCs/>
        </w:rPr>
      </w:pPr>
    </w:p>
    <w:p w:rsidR="00DC0DEF" w:rsidRPr="00DC0DEF" w:rsidRDefault="00DC0DEF" w:rsidP="002B1371">
      <w:pPr>
        <w:rPr>
          <w:rFonts w:ascii="Calibri" w:hAnsi="Calibri" w:cs="Calibri"/>
          <w:iCs/>
        </w:rPr>
      </w:pPr>
      <w:r>
        <w:rPr>
          <w:rFonts w:ascii="Calibri" w:hAnsi="Calibri" w:cs="Calibri"/>
          <w:iCs/>
          <w:noProof/>
        </w:rPr>
        <w:drawing>
          <wp:inline distT="0" distB="0" distL="0" distR="0" wp14:anchorId="0F0A0FDE" wp14:editId="100F6728">
            <wp:extent cx="5296619" cy="2406770"/>
            <wp:effectExtent l="0" t="0" r="18415" b="12700"/>
            <wp:docPr id="78" name="Graphique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Calibri" w:hAnsi="Calibri" w:cs="Calibri"/>
          <w:iCs/>
        </w:rPr>
        <w:t xml:space="preserve">             </w:t>
      </w:r>
      <w:r>
        <w:rPr>
          <w:rFonts w:ascii="Calibri" w:hAnsi="Calibri" w:cs="Calibri"/>
          <w:iCs/>
          <w:noProof/>
        </w:rPr>
        <w:drawing>
          <wp:inline distT="0" distB="0" distL="0" distR="0" wp14:anchorId="39F52327" wp14:editId="0C525CCC">
            <wp:extent cx="3631721" cy="2406770"/>
            <wp:effectExtent l="0" t="0" r="26035" b="12700"/>
            <wp:docPr id="79" name="Graphique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D5019" w:rsidRDefault="00AD5019" w:rsidP="00650C1A">
      <w:pPr>
        <w:jc w:val="both"/>
        <w:rPr>
          <w:rFonts w:ascii="Calibri" w:hAnsi="Calibri" w:cs="Calibri"/>
          <w:i/>
          <w:iCs/>
        </w:rPr>
      </w:pPr>
    </w:p>
    <w:p w:rsidR="00A257C6" w:rsidRDefault="00A257C6" w:rsidP="00650C1A">
      <w:pPr>
        <w:jc w:val="both"/>
        <w:rPr>
          <w:rFonts w:ascii="Calibri" w:hAnsi="Calibri" w:cs="Calibri"/>
          <w:i/>
          <w:iCs/>
        </w:rPr>
      </w:pPr>
    </w:p>
    <w:p w:rsidR="002B1371" w:rsidRPr="002436B1" w:rsidRDefault="000B3E5A" w:rsidP="00650C1A">
      <w:pPr>
        <w:jc w:val="both"/>
        <w:rPr>
          <w:rFonts w:ascii="Calibri" w:hAnsi="Calibri" w:cs="Calibri"/>
        </w:rPr>
      </w:pPr>
      <w:r>
        <w:rPr>
          <w:rFonts w:ascii="Calibri" w:hAnsi="Calibri" w:cs="Calibri"/>
        </w:rPr>
        <w:t xml:space="preserve">Les établissements de 100 salariés et plus offrent naturellement davantage de </w:t>
      </w:r>
      <w:r w:rsidR="00A258FF">
        <w:rPr>
          <w:rFonts w:ascii="Calibri" w:hAnsi="Calibri" w:cs="Calibri"/>
        </w:rPr>
        <w:t>possibilités de mobilité interne que les établissements de 50 à 99 salariés. Ainsi, 37% des premiers</w:t>
      </w:r>
      <w:r w:rsidR="0007443A">
        <w:rPr>
          <w:rFonts w:ascii="Calibri" w:hAnsi="Calibri" w:cs="Calibri"/>
        </w:rPr>
        <w:t xml:space="preserve">, et un quart des seconds, </w:t>
      </w:r>
      <w:r w:rsidR="00A258FF">
        <w:rPr>
          <w:rFonts w:ascii="Calibri" w:hAnsi="Calibri" w:cs="Calibri"/>
        </w:rPr>
        <w:t xml:space="preserve">ont pourvu en 2014 des emplois logistiques par mobilité interne. </w:t>
      </w:r>
    </w:p>
    <w:p w:rsidR="002B1371" w:rsidRPr="002436B1" w:rsidRDefault="002B1371" w:rsidP="002B1371">
      <w:pPr>
        <w:rPr>
          <w:rFonts w:ascii="Calibri" w:hAnsi="Calibri" w:cs="Calibri"/>
        </w:rPr>
      </w:pPr>
    </w:p>
    <w:p w:rsidR="00F70383" w:rsidRDefault="00F70383">
      <w:pPr>
        <w:rPr>
          <w:rFonts w:ascii="Arial Black" w:hAnsi="Arial Black" w:cs="Calibri"/>
          <w:b/>
          <w:bCs/>
          <w:color w:val="632423"/>
        </w:rPr>
      </w:pPr>
      <w:r>
        <w:rPr>
          <w:rFonts w:ascii="Arial Black" w:hAnsi="Arial Black" w:cs="Calibri"/>
          <w:b/>
          <w:bCs/>
          <w:color w:val="632423"/>
        </w:rPr>
        <w:br w:type="page"/>
      </w:r>
    </w:p>
    <w:p w:rsidR="002B1371" w:rsidRPr="00D52914" w:rsidRDefault="00023D43" w:rsidP="002B1371">
      <w:pPr>
        <w:rPr>
          <w:rFonts w:ascii="Arial Black" w:hAnsi="Arial Black" w:cs="Calibri"/>
          <w:b/>
          <w:bCs/>
          <w:color w:val="632423"/>
        </w:rPr>
      </w:pPr>
      <w:r>
        <w:rPr>
          <w:rFonts w:ascii="Arial Black" w:hAnsi="Arial Black" w:cs="Calibri"/>
          <w:b/>
          <w:bCs/>
          <w:color w:val="632423"/>
        </w:rPr>
        <w:t>Des évolutions professionnelles offertes aux opérateurs logistiques</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ayant offert des promotions</w:t>
      </w:r>
    </w:p>
    <w:p w:rsidR="002B1371" w:rsidRPr="002436B1" w:rsidRDefault="002B1371" w:rsidP="002B1371">
      <w:pPr>
        <w:rPr>
          <w:rFonts w:ascii="Calibri" w:hAnsi="Calibri" w:cs="Calibri"/>
        </w:rPr>
      </w:pPr>
    </w:p>
    <w:p w:rsidR="002B1371" w:rsidRPr="002436B1" w:rsidRDefault="002B1371" w:rsidP="00306147">
      <w:pPr>
        <w:rPr>
          <w:rFonts w:ascii="Calibri" w:hAnsi="Calibri" w:cs="Calibri"/>
          <w:i/>
          <w:iCs/>
        </w:rPr>
      </w:pPr>
      <w:r w:rsidRPr="002436B1">
        <w:rPr>
          <w:rFonts w:ascii="Calibri" w:hAnsi="Calibri" w:cs="Calibri"/>
          <w:i/>
          <w:iCs/>
        </w:rPr>
        <w:t>Etablissements de 100 salariés et plus</w:t>
      </w:r>
    </w:p>
    <w:tbl>
      <w:tblPr>
        <w:tblStyle w:val="Listemoyenne1-Accent2"/>
        <w:tblW w:w="12554" w:type="dxa"/>
        <w:tblLook w:val="04A0" w:firstRow="1" w:lastRow="0" w:firstColumn="1" w:lastColumn="0" w:noHBand="0" w:noVBand="1"/>
      </w:tblPr>
      <w:tblGrid>
        <w:gridCol w:w="6487"/>
        <w:gridCol w:w="841"/>
        <w:gridCol w:w="928"/>
        <w:gridCol w:w="928"/>
        <w:gridCol w:w="928"/>
        <w:gridCol w:w="888"/>
        <w:gridCol w:w="777"/>
        <w:gridCol w:w="777"/>
      </w:tblGrid>
      <w:tr w:rsidR="000E094C" w:rsidRPr="002436B1" w:rsidTr="00306147">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C0504D" w:themeColor="accent2"/>
            </w:tcBorders>
            <w:noWrap/>
          </w:tcPr>
          <w:p w:rsidR="000E094C" w:rsidRPr="00FA7F17" w:rsidRDefault="000E094C" w:rsidP="00FA7F17">
            <w:pPr>
              <w:ind w:left="155"/>
              <w:rPr>
                <w:rFonts w:asciiTheme="minorHAnsi" w:hAnsiTheme="minorHAnsi" w:cstheme="minorHAnsi"/>
                <w:b w:val="0"/>
                <w:sz w:val="20"/>
                <w:szCs w:val="20"/>
              </w:rPr>
            </w:pPr>
          </w:p>
        </w:tc>
        <w:tc>
          <w:tcPr>
            <w:tcW w:w="841"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7F17">
              <w:rPr>
                <w:rFonts w:asciiTheme="minorHAnsi" w:hAnsiTheme="minorHAnsi" w:cstheme="minorHAnsi"/>
                <w:bCs/>
                <w:sz w:val="20"/>
                <w:szCs w:val="20"/>
              </w:rPr>
              <w:t>2008</w:t>
            </w:r>
          </w:p>
        </w:tc>
        <w:tc>
          <w:tcPr>
            <w:tcW w:w="928"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7F17">
              <w:rPr>
                <w:rFonts w:asciiTheme="minorHAnsi" w:hAnsiTheme="minorHAnsi" w:cstheme="minorHAnsi"/>
                <w:bCs/>
                <w:sz w:val="20"/>
                <w:szCs w:val="20"/>
              </w:rPr>
              <w:t>2009</w:t>
            </w:r>
          </w:p>
        </w:tc>
        <w:tc>
          <w:tcPr>
            <w:tcW w:w="928"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7F17">
              <w:rPr>
                <w:rFonts w:asciiTheme="minorHAnsi" w:hAnsiTheme="minorHAnsi" w:cstheme="minorHAnsi"/>
                <w:bCs/>
                <w:sz w:val="20"/>
                <w:szCs w:val="20"/>
              </w:rPr>
              <w:t>2010</w:t>
            </w:r>
          </w:p>
        </w:tc>
        <w:tc>
          <w:tcPr>
            <w:tcW w:w="928"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7F17">
              <w:rPr>
                <w:rFonts w:asciiTheme="minorHAnsi" w:hAnsiTheme="minorHAnsi" w:cstheme="minorHAnsi"/>
                <w:bCs/>
                <w:sz w:val="20"/>
                <w:szCs w:val="20"/>
              </w:rPr>
              <w:t>2011</w:t>
            </w:r>
          </w:p>
        </w:tc>
        <w:tc>
          <w:tcPr>
            <w:tcW w:w="888"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7F17">
              <w:rPr>
                <w:rFonts w:asciiTheme="minorHAnsi" w:hAnsiTheme="minorHAnsi" w:cstheme="minorHAnsi"/>
                <w:bCs/>
                <w:sz w:val="20"/>
                <w:szCs w:val="20"/>
              </w:rPr>
              <w:t>2012</w:t>
            </w:r>
          </w:p>
        </w:tc>
        <w:tc>
          <w:tcPr>
            <w:tcW w:w="777"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FA7F17">
              <w:rPr>
                <w:rFonts w:asciiTheme="minorHAnsi" w:hAnsiTheme="minorHAnsi" w:cstheme="minorHAnsi"/>
                <w:bCs/>
                <w:sz w:val="20"/>
                <w:szCs w:val="20"/>
              </w:rPr>
              <w:t>2013</w:t>
            </w:r>
          </w:p>
        </w:tc>
        <w:tc>
          <w:tcPr>
            <w:tcW w:w="777" w:type="dxa"/>
            <w:tcBorders>
              <w:top w:val="single" w:sz="8" w:space="0" w:color="C0504D" w:themeColor="accent2"/>
            </w:tcBorders>
          </w:tcPr>
          <w:p w:rsidR="000E094C" w:rsidRPr="00FA7F17"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2014</w:t>
            </w:r>
          </w:p>
        </w:tc>
      </w:tr>
      <w:tr w:rsidR="000E094C" w:rsidRPr="00FA7F17" w:rsidTr="0030614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6487" w:type="dxa"/>
            <w:noWrap/>
          </w:tcPr>
          <w:p w:rsidR="000E094C" w:rsidRPr="00FA7F17" w:rsidRDefault="000E094C" w:rsidP="00FA7F17">
            <w:pPr>
              <w:ind w:left="155"/>
              <w:rPr>
                <w:rFonts w:asciiTheme="minorHAnsi" w:hAnsiTheme="minorHAnsi" w:cstheme="minorHAnsi"/>
                <w:b w:val="0"/>
                <w:sz w:val="20"/>
                <w:szCs w:val="20"/>
              </w:rPr>
            </w:pPr>
            <w:r w:rsidRPr="00FA7F17">
              <w:rPr>
                <w:rFonts w:asciiTheme="minorHAnsi" w:hAnsiTheme="minorHAnsi" w:cstheme="minorHAnsi"/>
                <w:b w:val="0"/>
                <w:sz w:val="20"/>
                <w:szCs w:val="20"/>
              </w:rPr>
              <w:t>D’un poste d'opérateur vers un poste de technicien/agent de maîtrise</w:t>
            </w:r>
          </w:p>
        </w:tc>
        <w:tc>
          <w:tcPr>
            <w:tcW w:w="841"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27%</w:t>
            </w:r>
          </w:p>
        </w:tc>
        <w:tc>
          <w:tcPr>
            <w:tcW w:w="928"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18%</w:t>
            </w:r>
          </w:p>
        </w:tc>
        <w:tc>
          <w:tcPr>
            <w:tcW w:w="928"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30%</w:t>
            </w:r>
          </w:p>
        </w:tc>
        <w:tc>
          <w:tcPr>
            <w:tcW w:w="928"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23%</w:t>
            </w:r>
          </w:p>
        </w:tc>
        <w:tc>
          <w:tcPr>
            <w:tcW w:w="888"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26%</w:t>
            </w:r>
          </w:p>
        </w:tc>
        <w:tc>
          <w:tcPr>
            <w:tcW w:w="777"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20%</w:t>
            </w:r>
          </w:p>
        </w:tc>
        <w:tc>
          <w:tcPr>
            <w:tcW w:w="777" w:type="dxa"/>
          </w:tcPr>
          <w:p w:rsidR="000E094C" w:rsidRPr="00FA7F17"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24%</w:t>
            </w:r>
          </w:p>
        </w:tc>
      </w:tr>
      <w:tr w:rsidR="000E094C" w:rsidRPr="00FA7F17" w:rsidTr="00306147">
        <w:trPr>
          <w:trHeight w:val="74"/>
        </w:trPr>
        <w:tc>
          <w:tcPr>
            <w:cnfStyle w:val="001000000000" w:firstRow="0" w:lastRow="0" w:firstColumn="1" w:lastColumn="0" w:oddVBand="0" w:evenVBand="0" w:oddHBand="0" w:evenHBand="0" w:firstRowFirstColumn="0" w:firstRowLastColumn="0" w:lastRowFirstColumn="0" w:lastRowLastColumn="0"/>
            <w:tcW w:w="6487" w:type="dxa"/>
            <w:noWrap/>
          </w:tcPr>
          <w:p w:rsidR="000E094C" w:rsidRPr="00FA7F17" w:rsidRDefault="000E094C" w:rsidP="00FA7F17">
            <w:pPr>
              <w:ind w:left="155"/>
              <w:rPr>
                <w:rFonts w:asciiTheme="minorHAnsi" w:hAnsiTheme="minorHAnsi" w:cstheme="minorHAnsi"/>
                <w:b w:val="0"/>
                <w:sz w:val="20"/>
                <w:szCs w:val="20"/>
              </w:rPr>
            </w:pPr>
            <w:r w:rsidRPr="00FA7F17">
              <w:rPr>
                <w:rFonts w:asciiTheme="minorHAnsi" w:hAnsiTheme="minorHAnsi" w:cstheme="minorHAnsi"/>
                <w:b w:val="0"/>
                <w:sz w:val="20"/>
                <w:szCs w:val="20"/>
              </w:rPr>
              <w:t>D’un poste de technicien/agent de maîtrise vers un poste de cadre</w:t>
            </w:r>
          </w:p>
        </w:tc>
        <w:tc>
          <w:tcPr>
            <w:tcW w:w="841"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9%</w:t>
            </w:r>
          </w:p>
        </w:tc>
        <w:tc>
          <w:tcPr>
            <w:tcW w:w="928"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7%</w:t>
            </w:r>
          </w:p>
        </w:tc>
        <w:tc>
          <w:tcPr>
            <w:tcW w:w="928"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16%</w:t>
            </w:r>
          </w:p>
        </w:tc>
        <w:tc>
          <w:tcPr>
            <w:tcW w:w="928"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8%</w:t>
            </w:r>
          </w:p>
        </w:tc>
        <w:tc>
          <w:tcPr>
            <w:tcW w:w="888"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8%</w:t>
            </w:r>
          </w:p>
        </w:tc>
        <w:tc>
          <w:tcPr>
            <w:tcW w:w="777"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7F17">
              <w:rPr>
                <w:rFonts w:asciiTheme="minorHAnsi" w:hAnsiTheme="minorHAnsi" w:cstheme="minorHAnsi"/>
                <w:sz w:val="20"/>
                <w:szCs w:val="20"/>
              </w:rPr>
              <w:t>10%</w:t>
            </w:r>
          </w:p>
        </w:tc>
        <w:tc>
          <w:tcPr>
            <w:tcW w:w="777" w:type="dxa"/>
          </w:tcPr>
          <w:p w:rsidR="000E094C" w:rsidRPr="00FA7F17" w:rsidRDefault="000E094C" w:rsidP="00D52914">
            <w:pPr>
              <w:ind w:left="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r>
    </w:tbl>
    <w:p w:rsidR="002B1371" w:rsidRPr="00FA7F17" w:rsidRDefault="002B1371" w:rsidP="00306147">
      <w:pPr>
        <w:ind w:left="155"/>
        <w:rPr>
          <w:rFonts w:asciiTheme="minorHAnsi" w:hAnsiTheme="minorHAnsi" w:cstheme="minorHAnsi"/>
          <w:bCs/>
          <w:sz w:val="20"/>
          <w:szCs w:val="20"/>
        </w:rPr>
      </w:pPr>
    </w:p>
    <w:p w:rsidR="002B1371" w:rsidRPr="002436B1" w:rsidRDefault="002B1371" w:rsidP="00306147">
      <w:pPr>
        <w:rPr>
          <w:rFonts w:ascii="Calibri" w:hAnsi="Calibri" w:cs="Calibri"/>
          <w:i/>
          <w:iCs/>
        </w:rPr>
      </w:pPr>
      <w:r w:rsidRPr="002436B1">
        <w:rPr>
          <w:rFonts w:ascii="Calibri" w:hAnsi="Calibri" w:cs="Calibri"/>
          <w:i/>
          <w:iCs/>
        </w:rPr>
        <w:t>Etablissements de 50 à 99 salariés</w:t>
      </w:r>
    </w:p>
    <w:tbl>
      <w:tblPr>
        <w:tblStyle w:val="Listemoyenne1-Accent2"/>
        <w:tblW w:w="12563" w:type="dxa"/>
        <w:tblLook w:val="04A0" w:firstRow="1" w:lastRow="0" w:firstColumn="1" w:lastColumn="0" w:noHBand="0" w:noVBand="1"/>
      </w:tblPr>
      <w:tblGrid>
        <w:gridCol w:w="6487"/>
        <w:gridCol w:w="910"/>
        <w:gridCol w:w="910"/>
        <w:gridCol w:w="911"/>
        <w:gridCol w:w="911"/>
        <w:gridCol w:w="880"/>
        <w:gridCol w:w="777"/>
        <w:gridCol w:w="777"/>
      </w:tblGrid>
      <w:tr w:rsidR="000E094C" w:rsidRPr="00D52914" w:rsidTr="00306147">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C0504D" w:themeColor="accent2"/>
            </w:tcBorders>
            <w:noWrap/>
          </w:tcPr>
          <w:p w:rsidR="000E094C" w:rsidRPr="00D52914" w:rsidRDefault="000E094C" w:rsidP="00FA7F17">
            <w:pPr>
              <w:ind w:left="155"/>
              <w:rPr>
                <w:rFonts w:asciiTheme="minorHAnsi" w:hAnsiTheme="minorHAnsi" w:cstheme="minorHAnsi"/>
                <w:b w:val="0"/>
                <w:sz w:val="20"/>
                <w:szCs w:val="20"/>
              </w:rPr>
            </w:pPr>
          </w:p>
        </w:tc>
        <w:tc>
          <w:tcPr>
            <w:tcW w:w="910"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52914">
              <w:rPr>
                <w:rFonts w:asciiTheme="minorHAnsi" w:hAnsiTheme="minorHAnsi" w:cstheme="minorHAnsi"/>
                <w:sz w:val="20"/>
                <w:szCs w:val="20"/>
              </w:rPr>
              <w:t>2008</w:t>
            </w:r>
          </w:p>
        </w:tc>
        <w:tc>
          <w:tcPr>
            <w:tcW w:w="910"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52914">
              <w:rPr>
                <w:rFonts w:asciiTheme="minorHAnsi" w:hAnsiTheme="minorHAnsi" w:cstheme="minorHAnsi"/>
                <w:sz w:val="20"/>
                <w:szCs w:val="20"/>
              </w:rPr>
              <w:t>2009</w:t>
            </w:r>
          </w:p>
        </w:tc>
        <w:tc>
          <w:tcPr>
            <w:tcW w:w="911"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52914">
              <w:rPr>
                <w:rFonts w:asciiTheme="minorHAnsi" w:hAnsiTheme="minorHAnsi" w:cstheme="minorHAnsi"/>
                <w:sz w:val="20"/>
                <w:szCs w:val="20"/>
              </w:rPr>
              <w:t>2010</w:t>
            </w:r>
          </w:p>
        </w:tc>
        <w:tc>
          <w:tcPr>
            <w:tcW w:w="911"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52914">
              <w:rPr>
                <w:rFonts w:asciiTheme="minorHAnsi" w:hAnsiTheme="minorHAnsi" w:cstheme="minorHAnsi"/>
                <w:sz w:val="20"/>
                <w:szCs w:val="20"/>
              </w:rPr>
              <w:t>2011</w:t>
            </w:r>
          </w:p>
        </w:tc>
        <w:tc>
          <w:tcPr>
            <w:tcW w:w="880"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52914">
              <w:rPr>
                <w:rFonts w:asciiTheme="minorHAnsi" w:hAnsiTheme="minorHAnsi" w:cstheme="minorHAnsi"/>
                <w:sz w:val="20"/>
                <w:szCs w:val="20"/>
              </w:rPr>
              <w:t>2012</w:t>
            </w:r>
          </w:p>
        </w:tc>
        <w:tc>
          <w:tcPr>
            <w:tcW w:w="777"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52914">
              <w:rPr>
                <w:rFonts w:asciiTheme="minorHAnsi" w:hAnsiTheme="minorHAnsi" w:cstheme="minorHAnsi"/>
                <w:sz w:val="20"/>
                <w:szCs w:val="20"/>
              </w:rPr>
              <w:t>2013</w:t>
            </w:r>
          </w:p>
        </w:tc>
        <w:tc>
          <w:tcPr>
            <w:tcW w:w="777" w:type="dxa"/>
            <w:tcBorders>
              <w:top w:val="single" w:sz="4" w:space="0" w:color="C0504D" w:themeColor="accent2"/>
            </w:tcBorders>
          </w:tcPr>
          <w:p w:rsidR="000E094C" w:rsidRPr="00D52914" w:rsidRDefault="000E094C" w:rsidP="00D52914">
            <w:pPr>
              <w:ind w:left="1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2014</w:t>
            </w:r>
          </w:p>
        </w:tc>
      </w:tr>
      <w:tr w:rsidR="000E094C" w:rsidRPr="00D52914" w:rsidTr="0030614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6487" w:type="dxa"/>
            <w:noWrap/>
          </w:tcPr>
          <w:p w:rsidR="000E094C" w:rsidRPr="00D52914" w:rsidRDefault="000E094C" w:rsidP="00D52914">
            <w:pPr>
              <w:rPr>
                <w:rFonts w:asciiTheme="minorHAnsi" w:hAnsiTheme="minorHAnsi" w:cstheme="minorHAnsi"/>
                <w:b w:val="0"/>
                <w:sz w:val="20"/>
                <w:szCs w:val="20"/>
              </w:rPr>
            </w:pPr>
            <w:r w:rsidRPr="00D52914">
              <w:rPr>
                <w:rFonts w:asciiTheme="minorHAnsi" w:hAnsiTheme="minorHAnsi" w:cstheme="minorHAnsi"/>
                <w:b w:val="0"/>
                <w:sz w:val="20"/>
                <w:szCs w:val="20"/>
              </w:rPr>
              <w:t>D’un poste d'opérateur vers un poste de technicien/agent de maîtrise</w:t>
            </w:r>
          </w:p>
        </w:tc>
        <w:tc>
          <w:tcPr>
            <w:tcW w:w="910"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52914">
              <w:rPr>
                <w:rFonts w:asciiTheme="minorHAnsi" w:hAnsiTheme="minorHAnsi" w:cstheme="minorHAnsi"/>
                <w:bCs/>
                <w:sz w:val="20"/>
                <w:szCs w:val="20"/>
              </w:rPr>
              <w:t>26%</w:t>
            </w:r>
          </w:p>
        </w:tc>
        <w:tc>
          <w:tcPr>
            <w:tcW w:w="910"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52914">
              <w:rPr>
                <w:rFonts w:asciiTheme="minorHAnsi" w:hAnsiTheme="minorHAnsi" w:cstheme="minorHAnsi"/>
                <w:bCs/>
                <w:sz w:val="20"/>
                <w:szCs w:val="20"/>
              </w:rPr>
              <w:t>14%</w:t>
            </w:r>
          </w:p>
        </w:tc>
        <w:tc>
          <w:tcPr>
            <w:tcW w:w="911"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52914">
              <w:rPr>
                <w:rFonts w:asciiTheme="minorHAnsi" w:hAnsiTheme="minorHAnsi" w:cstheme="minorHAnsi"/>
                <w:bCs/>
                <w:sz w:val="20"/>
                <w:szCs w:val="20"/>
              </w:rPr>
              <w:t>20%</w:t>
            </w:r>
          </w:p>
        </w:tc>
        <w:tc>
          <w:tcPr>
            <w:tcW w:w="911"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52914">
              <w:rPr>
                <w:rFonts w:asciiTheme="minorHAnsi" w:hAnsiTheme="minorHAnsi" w:cstheme="minorHAnsi"/>
                <w:bCs/>
                <w:sz w:val="20"/>
                <w:szCs w:val="20"/>
              </w:rPr>
              <w:t>22%</w:t>
            </w:r>
          </w:p>
        </w:tc>
        <w:tc>
          <w:tcPr>
            <w:tcW w:w="880"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52914">
              <w:rPr>
                <w:rFonts w:asciiTheme="minorHAnsi" w:hAnsiTheme="minorHAnsi" w:cstheme="minorHAnsi"/>
                <w:bCs/>
                <w:sz w:val="20"/>
                <w:szCs w:val="20"/>
              </w:rPr>
              <w:t>18%</w:t>
            </w:r>
          </w:p>
        </w:tc>
        <w:tc>
          <w:tcPr>
            <w:tcW w:w="777"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52914">
              <w:rPr>
                <w:rFonts w:asciiTheme="minorHAnsi" w:hAnsiTheme="minorHAnsi" w:cstheme="minorHAnsi"/>
                <w:bCs/>
                <w:sz w:val="20"/>
                <w:szCs w:val="20"/>
              </w:rPr>
              <w:t>15%</w:t>
            </w:r>
          </w:p>
        </w:tc>
        <w:tc>
          <w:tcPr>
            <w:tcW w:w="777" w:type="dxa"/>
          </w:tcPr>
          <w:p w:rsidR="000E094C" w:rsidRPr="00D52914" w:rsidRDefault="000E094C" w:rsidP="00D52914">
            <w:pPr>
              <w:ind w:left="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21%</w:t>
            </w:r>
          </w:p>
        </w:tc>
      </w:tr>
      <w:tr w:rsidR="000E094C" w:rsidRPr="00D52914" w:rsidTr="00306147">
        <w:trPr>
          <w:trHeight w:val="74"/>
        </w:trPr>
        <w:tc>
          <w:tcPr>
            <w:cnfStyle w:val="001000000000" w:firstRow="0" w:lastRow="0" w:firstColumn="1" w:lastColumn="0" w:oddVBand="0" w:evenVBand="0" w:oddHBand="0" w:evenHBand="0" w:firstRowFirstColumn="0" w:firstRowLastColumn="0" w:lastRowFirstColumn="0" w:lastRowLastColumn="0"/>
            <w:tcW w:w="6487" w:type="dxa"/>
            <w:noWrap/>
          </w:tcPr>
          <w:p w:rsidR="000E094C" w:rsidRPr="00D52914" w:rsidRDefault="000E094C" w:rsidP="00F3284E">
            <w:pPr>
              <w:rPr>
                <w:rFonts w:ascii="Calibri" w:hAnsi="Calibri" w:cs="Calibri"/>
                <w:b w:val="0"/>
                <w:bCs w:val="0"/>
                <w:sz w:val="20"/>
                <w:szCs w:val="20"/>
              </w:rPr>
            </w:pPr>
            <w:r w:rsidRPr="00D52914">
              <w:rPr>
                <w:rFonts w:ascii="Calibri" w:hAnsi="Calibri" w:cs="Calibri"/>
                <w:b w:val="0"/>
                <w:bCs w:val="0"/>
                <w:sz w:val="20"/>
                <w:szCs w:val="20"/>
              </w:rPr>
              <w:t>D’un poste de technicien/agent de maîtrise vers un poste de cadre</w:t>
            </w:r>
          </w:p>
        </w:tc>
        <w:tc>
          <w:tcPr>
            <w:tcW w:w="910"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52914">
              <w:rPr>
                <w:rFonts w:ascii="Calibri" w:hAnsi="Calibri" w:cs="Calibri"/>
                <w:bCs/>
                <w:sz w:val="20"/>
                <w:szCs w:val="20"/>
              </w:rPr>
              <w:t>10%</w:t>
            </w:r>
          </w:p>
        </w:tc>
        <w:tc>
          <w:tcPr>
            <w:tcW w:w="910"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52914">
              <w:rPr>
                <w:rFonts w:ascii="Calibri" w:hAnsi="Calibri" w:cs="Calibri"/>
                <w:bCs/>
                <w:sz w:val="20"/>
                <w:szCs w:val="20"/>
              </w:rPr>
              <w:t>8%</w:t>
            </w:r>
          </w:p>
        </w:tc>
        <w:tc>
          <w:tcPr>
            <w:tcW w:w="911"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52914">
              <w:rPr>
                <w:rFonts w:ascii="Calibri" w:hAnsi="Calibri" w:cs="Calibri"/>
                <w:bCs/>
                <w:sz w:val="20"/>
                <w:szCs w:val="20"/>
              </w:rPr>
              <w:t>13%</w:t>
            </w:r>
          </w:p>
        </w:tc>
        <w:tc>
          <w:tcPr>
            <w:tcW w:w="911"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52914">
              <w:rPr>
                <w:rFonts w:ascii="Calibri" w:hAnsi="Calibri" w:cs="Calibri"/>
                <w:bCs/>
                <w:sz w:val="20"/>
                <w:szCs w:val="20"/>
              </w:rPr>
              <w:t>5%</w:t>
            </w:r>
          </w:p>
        </w:tc>
        <w:tc>
          <w:tcPr>
            <w:tcW w:w="880"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52914">
              <w:rPr>
                <w:rFonts w:ascii="Calibri" w:hAnsi="Calibri" w:cs="Calibri"/>
                <w:bCs/>
                <w:sz w:val="20"/>
                <w:szCs w:val="20"/>
              </w:rPr>
              <w:t>10%</w:t>
            </w:r>
          </w:p>
        </w:tc>
        <w:tc>
          <w:tcPr>
            <w:tcW w:w="777"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52914">
              <w:rPr>
                <w:rFonts w:ascii="Calibri" w:hAnsi="Calibri" w:cs="Calibri"/>
                <w:bCs/>
                <w:sz w:val="20"/>
                <w:szCs w:val="20"/>
              </w:rPr>
              <w:t>7%</w:t>
            </w:r>
          </w:p>
        </w:tc>
        <w:tc>
          <w:tcPr>
            <w:tcW w:w="777" w:type="dxa"/>
          </w:tcPr>
          <w:p w:rsidR="000E094C" w:rsidRPr="00D52914" w:rsidRDefault="000E094C" w:rsidP="00D52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6%</w:t>
            </w:r>
          </w:p>
        </w:tc>
      </w:tr>
    </w:tbl>
    <w:p w:rsidR="002B1371" w:rsidRPr="002436B1" w:rsidRDefault="002B1371" w:rsidP="002B1371">
      <w:pPr>
        <w:rPr>
          <w:rFonts w:ascii="Calibri" w:hAnsi="Calibri" w:cs="Calibri"/>
        </w:rPr>
      </w:pPr>
    </w:p>
    <w:p w:rsidR="002B1371" w:rsidRPr="002436B1" w:rsidRDefault="00924B2C" w:rsidP="002B1371">
      <w:pPr>
        <w:jc w:val="both"/>
        <w:rPr>
          <w:rFonts w:ascii="Calibri" w:hAnsi="Calibri" w:cs="Calibri"/>
        </w:rPr>
      </w:pPr>
      <w:r>
        <w:rPr>
          <w:rFonts w:ascii="Calibri" w:hAnsi="Calibri" w:cs="Calibri"/>
        </w:rPr>
        <w:t xml:space="preserve">24% des établissements </w:t>
      </w:r>
      <w:r w:rsidR="00023D43">
        <w:rPr>
          <w:rFonts w:ascii="Calibri" w:hAnsi="Calibri" w:cs="Calibri"/>
        </w:rPr>
        <w:t xml:space="preserve">de 100 salariés et plus (et 21% des établissements de 50 à 99 salariés) </w:t>
      </w:r>
      <w:r>
        <w:rPr>
          <w:rFonts w:ascii="Calibri" w:hAnsi="Calibri" w:cs="Calibri"/>
        </w:rPr>
        <w:t>ont o</w:t>
      </w:r>
      <w:r w:rsidR="00023D43">
        <w:rPr>
          <w:rFonts w:ascii="Calibri" w:hAnsi="Calibri" w:cs="Calibri"/>
        </w:rPr>
        <w:t>ffert en 2014 des postes de techniciens/agents de maîtrise à des opérateurs logistiques</w:t>
      </w:r>
      <w:r w:rsidR="002B1371" w:rsidRPr="002436B1">
        <w:rPr>
          <w:rFonts w:ascii="Calibri" w:hAnsi="Calibri" w:cs="Calibri"/>
        </w:rPr>
        <w:t xml:space="preserve">. </w:t>
      </w:r>
    </w:p>
    <w:p w:rsidR="00D52914" w:rsidRDefault="00D52914">
      <w:pPr>
        <w:rPr>
          <w:rFonts w:ascii="Calibri" w:hAnsi="Calibri" w:cs="Calibri"/>
          <w:b/>
          <w:bCs/>
          <w:color w:val="4F6228"/>
          <w:sz w:val="28"/>
        </w:rPr>
      </w:pPr>
    </w:p>
    <w:p w:rsidR="002B1371" w:rsidRPr="00D52914" w:rsidRDefault="0010352C" w:rsidP="002B1371">
      <w:pPr>
        <w:rPr>
          <w:rFonts w:ascii="Arial Black" w:hAnsi="Arial Black" w:cs="Calibri"/>
          <w:b/>
          <w:bCs/>
          <w:color w:val="632423"/>
        </w:rPr>
      </w:pPr>
      <w:r>
        <w:rPr>
          <w:rFonts w:ascii="Arial Black" w:hAnsi="Arial Black" w:cs="Calibri"/>
          <w:b/>
          <w:bCs/>
          <w:color w:val="632423"/>
        </w:rPr>
        <w:t>Dans un établissement sur quatre, ces promotions se sont accompagnées de formations</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Proportion d’établissements pour lesquels ces promotions font souvent suite</w:t>
      </w:r>
      <w:r w:rsidR="00F70383">
        <w:rPr>
          <w:rFonts w:ascii="Calibri" w:hAnsi="Calibri" w:cs="Calibri"/>
          <w:b/>
          <w:bCs/>
        </w:rPr>
        <w:t xml:space="preserve"> </w:t>
      </w:r>
      <w:r w:rsidRPr="002436B1">
        <w:rPr>
          <w:rFonts w:ascii="Calibri" w:hAnsi="Calibri" w:cs="Calibri"/>
          <w:b/>
          <w:bCs/>
        </w:rPr>
        <w:t>à une action de formation professionnelle</w:t>
      </w:r>
    </w:p>
    <w:p w:rsidR="002B1371" w:rsidRPr="002436B1" w:rsidRDefault="00AD6615" w:rsidP="002B1371">
      <w:pPr>
        <w:rPr>
          <w:rFonts w:ascii="Calibri" w:hAnsi="Calibri" w:cs="Calibri"/>
        </w:rPr>
      </w:pPr>
      <w:r>
        <w:rPr>
          <w:rFonts w:ascii="Calibri" w:hAnsi="Calibri" w:cs="Calibri"/>
          <w:noProof/>
        </w:rPr>
        <w:drawing>
          <wp:inline distT="0" distB="0" distL="0" distR="0" wp14:anchorId="4EBEB87A" wp14:editId="05B80D45">
            <wp:extent cx="9342408" cy="1915064"/>
            <wp:effectExtent l="0" t="0" r="11430" b="9525"/>
            <wp:docPr id="37" name="Obje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74714" w:rsidRDefault="00174714" w:rsidP="002B1371">
      <w:pPr>
        <w:jc w:val="both"/>
        <w:rPr>
          <w:rFonts w:ascii="Calibri" w:hAnsi="Calibri" w:cs="Calibri"/>
        </w:rPr>
      </w:pPr>
    </w:p>
    <w:p w:rsidR="00174714" w:rsidRDefault="00174714" w:rsidP="002B1371">
      <w:pPr>
        <w:jc w:val="both"/>
        <w:rPr>
          <w:rFonts w:ascii="Calibri" w:hAnsi="Calibri" w:cs="Calibri"/>
        </w:rPr>
      </w:pPr>
    </w:p>
    <w:p w:rsidR="00174714" w:rsidRDefault="00090E16" w:rsidP="000E094C">
      <w:pPr>
        <w:jc w:val="both"/>
        <w:rPr>
          <w:rFonts w:ascii="Calibri" w:hAnsi="Calibri" w:cs="Calibri"/>
          <w:b/>
          <w:color w:val="4F6228"/>
          <w:sz w:val="36"/>
          <w:szCs w:val="32"/>
        </w:rPr>
      </w:pPr>
      <w:r>
        <w:rPr>
          <w:rFonts w:ascii="Calibri" w:hAnsi="Calibri" w:cs="Calibri"/>
        </w:rPr>
        <w:t>24% des établissements qui ont offert des promotions à leur personnel logistique leur ont permis de suivre une formation professionnelle pour les accompagner dans cette évolution. Cette proportion monte à 45% dans les établissements de 500 salariés et plus</w:t>
      </w:r>
      <w:r w:rsidR="002B1371" w:rsidRPr="002436B1">
        <w:rPr>
          <w:rFonts w:ascii="Calibri" w:hAnsi="Calibri" w:cs="Calibri"/>
        </w:rPr>
        <w:t xml:space="preserve">. </w:t>
      </w:r>
      <w:r w:rsidR="00174714">
        <w:rPr>
          <w:rFonts w:ascii="Calibri" w:hAnsi="Calibri" w:cs="Calibri"/>
          <w:b/>
          <w:color w:val="4F6228"/>
          <w:sz w:val="36"/>
          <w:szCs w:val="32"/>
        </w:rPr>
        <w:br w:type="page"/>
      </w:r>
    </w:p>
    <w:p w:rsidR="002B1371" w:rsidRPr="005455E9" w:rsidRDefault="002B1371" w:rsidP="002B1371">
      <w:pPr>
        <w:numPr>
          <w:ilvl w:val="1"/>
          <w:numId w:val="8"/>
        </w:numPr>
        <w:jc w:val="both"/>
        <w:rPr>
          <w:rFonts w:ascii="Calibri" w:hAnsi="Calibri" w:cs="Calibri"/>
          <w:b/>
          <w:color w:val="984806" w:themeColor="accent6" w:themeShade="80"/>
          <w:sz w:val="32"/>
          <w:szCs w:val="32"/>
        </w:rPr>
      </w:pPr>
      <w:r w:rsidRPr="005455E9">
        <w:rPr>
          <w:rFonts w:ascii="Calibri" w:hAnsi="Calibri" w:cs="Calibri"/>
          <w:b/>
          <w:color w:val="984806" w:themeColor="accent6" w:themeShade="80"/>
          <w:sz w:val="32"/>
          <w:szCs w:val="32"/>
        </w:rPr>
        <w:t>Intérim</w:t>
      </w:r>
      <w:r w:rsidR="0067488C">
        <w:rPr>
          <w:rFonts w:ascii="Calibri" w:hAnsi="Calibri" w:cs="Calibri"/>
          <w:b/>
          <w:color w:val="984806" w:themeColor="accent6" w:themeShade="80"/>
          <w:sz w:val="32"/>
          <w:szCs w:val="32"/>
        </w:rPr>
        <w:t>, groupements d’employeurs et portage salarial</w:t>
      </w:r>
    </w:p>
    <w:p w:rsidR="002B1371" w:rsidRPr="0049155E" w:rsidRDefault="002B1371" w:rsidP="002B1371">
      <w:pPr>
        <w:rPr>
          <w:rFonts w:ascii="Calibri" w:hAnsi="Calibri" w:cs="Calibri"/>
          <w:bCs/>
          <w:color w:val="4F6228"/>
        </w:rPr>
      </w:pPr>
    </w:p>
    <w:p w:rsidR="002B1371" w:rsidRPr="00F70383" w:rsidRDefault="0006495F" w:rsidP="002B1371">
      <w:pPr>
        <w:rPr>
          <w:rFonts w:ascii="Arial Black" w:hAnsi="Arial Black" w:cs="Calibri"/>
          <w:b/>
          <w:bCs/>
          <w:color w:val="632423"/>
        </w:rPr>
      </w:pPr>
      <w:r>
        <w:rPr>
          <w:rFonts w:ascii="Arial Black" w:hAnsi="Arial Black" w:cs="Calibri"/>
          <w:b/>
          <w:bCs/>
          <w:color w:val="632423"/>
        </w:rPr>
        <w:t>R</w:t>
      </w:r>
      <w:r w:rsidR="00D917EA">
        <w:rPr>
          <w:rFonts w:ascii="Arial Black" w:hAnsi="Arial Black" w:cs="Calibri"/>
          <w:b/>
          <w:bCs/>
          <w:color w:val="632423"/>
        </w:rPr>
        <w:t>ebond du nombre d’établiss</w:t>
      </w:r>
      <w:r>
        <w:rPr>
          <w:rFonts w:ascii="Arial Black" w:hAnsi="Arial Black" w:cs="Calibri"/>
          <w:b/>
          <w:bCs/>
          <w:color w:val="632423"/>
        </w:rPr>
        <w:t>emen</w:t>
      </w:r>
      <w:r w:rsidR="00D917EA">
        <w:rPr>
          <w:rFonts w:ascii="Arial Black" w:hAnsi="Arial Black" w:cs="Calibri"/>
          <w:b/>
          <w:bCs/>
          <w:color w:val="632423"/>
        </w:rPr>
        <w:t>t</w:t>
      </w:r>
      <w:r>
        <w:rPr>
          <w:rFonts w:ascii="Arial Black" w:hAnsi="Arial Black" w:cs="Calibri"/>
          <w:b/>
          <w:bCs/>
          <w:color w:val="632423"/>
        </w:rPr>
        <w:t>s</w:t>
      </w:r>
      <w:r w:rsidR="00D917EA">
        <w:rPr>
          <w:rFonts w:ascii="Arial Black" w:hAnsi="Arial Black" w:cs="Calibri"/>
          <w:b/>
          <w:bCs/>
          <w:color w:val="632423"/>
        </w:rPr>
        <w:t xml:space="preserve"> ayant recours </w:t>
      </w:r>
      <w:r>
        <w:rPr>
          <w:rFonts w:ascii="Arial Black" w:hAnsi="Arial Black" w:cs="Calibri"/>
          <w:b/>
          <w:bCs/>
          <w:color w:val="632423"/>
        </w:rPr>
        <w:t>à l’intérim</w:t>
      </w:r>
      <w:r w:rsidR="002B1371" w:rsidRPr="00F70383">
        <w:rPr>
          <w:rFonts w:ascii="Arial Black" w:hAnsi="Arial Black" w:cs="Calibri"/>
          <w:b/>
          <w:bCs/>
          <w:color w:val="632423"/>
        </w:rPr>
        <w:t xml:space="preserve"> </w:t>
      </w:r>
      <w:r w:rsidR="00D917EA">
        <w:rPr>
          <w:rFonts w:ascii="Arial Black" w:hAnsi="Arial Black" w:cs="Calibri"/>
          <w:b/>
          <w:bCs/>
          <w:color w:val="632423"/>
        </w:rPr>
        <w:t>en 2014</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Evolution de la proportion d’établissements ayant recours à l’intérim</w:t>
      </w:r>
    </w:p>
    <w:p w:rsidR="002B1371" w:rsidRPr="002436B1" w:rsidRDefault="002B1371" w:rsidP="002B1371">
      <w:pPr>
        <w:rPr>
          <w:rFonts w:ascii="Calibri" w:hAnsi="Calibri" w:cs="Calibri"/>
        </w:rPr>
      </w:pPr>
    </w:p>
    <w:p w:rsidR="002B1371" w:rsidRDefault="002B1371" w:rsidP="002B1371">
      <w:pPr>
        <w:rPr>
          <w:rFonts w:ascii="Calibri" w:hAnsi="Calibri" w:cs="Calibri"/>
          <w:i/>
          <w:iCs/>
        </w:rPr>
      </w:pPr>
      <w:r w:rsidRPr="002436B1">
        <w:rPr>
          <w:rFonts w:ascii="Calibri" w:hAnsi="Calibri" w:cs="Calibri"/>
          <w:i/>
          <w:iCs/>
        </w:rPr>
        <w:t xml:space="preserve">  Etablissements de 100 salariés et plus </w:t>
      </w:r>
      <w:r w:rsidRPr="002436B1">
        <w:rPr>
          <w:rFonts w:ascii="Calibri" w:hAnsi="Calibri" w:cs="Calibri"/>
          <w:i/>
          <w:iCs/>
        </w:rPr>
        <w:tab/>
      </w:r>
      <w:r w:rsidRPr="002436B1">
        <w:rPr>
          <w:rFonts w:ascii="Calibri" w:hAnsi="Calibri" w:cs="Calibri"/>
          <w:i/>
          <w:iCs/>
        </w:rPr>
        <w:tab/>
      </w:r>
      <w:r w:rsidRPr="002436B1">
        <w:rPr>
          <w:rFonts w:ascii="Calibri" w:hAnsi="Calibri" w:cs="Calibri"/>
          <w:i/>
          <w:iCs/>
        </w:rPr>
        <w:tab/>
      </w:r>
      <w:r w:rsidR="003D5D8A">
        <w:rPr>
          <w:rFonts w:ascii="Calibri" w:hAnsi="Calibri" w:cs="Calibri"/>
          <w:i/>
          <w:iCs/>
        </w:rPr>
        <w:t xml:space="preserve">                                                             </w:t>
      </w:r>
      <w:r w:rsidRPr="002436B1">
        <w:rPr>
          <w:rFonts w:ascii="Calibri" w:hAnsi="Calibri" w:cs="Calibri"/>
          <w:i/>
          <w:iCs/>
        </w:rPr>
        <w:t>Etablissements de 50 à 99 salariés</w:t>
      </w:r>
    </w:p>
    <w:p w:rsidR="00B82AEC" w:rsidRPr="002436B1" w:rsidRDefault="00B82AEC" w:rsidP="002B1371">
      <w:pPr>
        <w:rPr>
          <w:rFonts w:ascii="Calibri" w:hAnsi="Calibri" w:cs="Calibri"/>
          <w:i/>
          <w:iCs/>
        </w:rPr>
      </w:pPr>
    </w:p>
    <w:p w:rsidR="002B1371" w:rsidRDefault="00FE7D20" w:rsidP="002B1371">
      <w:pPr>
        <w:rPr>
          <w:rFonts w:ascii="Calibri" w:hAnsi="Calibri" w:cs="Calibri"/>
        </w:rPr>
      </w:pPr>
      <w:r>
        <w:rPr>
          <w:rFonts w:ascii="Calibri" w:hAnsi="Calibri" w:cs="Calibri"/>
          <w:noProof/>
        </w:rPr>
        <w:drawing>
          <wp:inline distT="0" distB="0" distL="0" distR="0" wp14:anchorId="00E1C798" wp14:editId="70B2B62F">
            <wp:extent cx="4600575" cy="3209925"/>
            <wp:effectExtent l="0" t="0" r="9525" b="9525"/>
            <wp:docPr id="80" name="Graphique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3D5D8A">
        <w:rPr>
          <w:rFonts w:ascii="Calibri" w:hAnsi="Calibri" w:cs="Calibri"/>
        </w:rPr>
        <w:t xml:space="preserve">                                </w:t>
      </w:r>
      <w:r w:rsidR="003D5D8A">
        <w:rPr>
          <w:rFonts w:ascii="Calibri" w:hAnsi="Calibri" w:cs="Calibri"/>
          <w:noProof/>
        </w:rPr>
        <w:drawing>
          <wp:inline distT="0" distB="0" distL="0" distR="0" wp14:anchorId="13040A1C" wp14:editId="1D049BBB">
            <wp:extent cx="3371850" cy="3143250"/>
            <wp:effectExtent l="0" t="0" r="19050" b="19050"/>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B1371" w:rsidRDefault="002B1371" w:rsidP="00AF171E">
      <w:pPr>
        <w:jc w:val="both"/>
        <w:rPr>
          <w:rFonts w:ascii="Calibri" w:hAnsi="Calibri" w:cs="Calibri"/>
        </w:rPr>
      </w:pPr>
      <w:r w:rsidRPr="002436B1">
        <w:rPr>
          <w:rFonts w:ascii="Calibri" w:hAnsi="Calibri" w:cs="Calibri"/>
        </w:rPr>
        <w:t xml:space="preserve">La proportion d’établissements </w:t>
      </w:r>
      <w:r w:rsidR="00AF171E">
        <w:rPr>
          <w:rFonts w:ascii="Calibri" w:hAnsi="Calibri" w:cs="Calibri"/>
        </w:rPr>
        <w:t xml:space="preserve">de 100 salariés et plus </w:t>
      </w:r>
      <w:r w:rsidRPr="002436B1">
        <w:rPr>
          <w:rFonts w:ascii="Calibri" w:hAnsi="Calibri" w:cs="Calibri"/>
        </w:rPr>
        <w:t xml:space="preserve">ayant recours à du personnel logistique en intérim </w:t>
      </w:r>
      <w:r w:rsidR="00AF171E">
        <w:rPr>
          <w:rFonts w:ascii="Calibri" w:hAnsi="Calibri" w:cs="Calibri"/>
        </w:rPr>
        <w:t>augmente en 2014 de trois points pour s’établir à 74%</w:t>
      </w:r>
      <w:r w:rsidRPr="002436B1">
        <w:rPr>
          <w:rFonts w:ascii="Calibri" w:hAnsi="Calibri" w:cs="Calibri"/>
        </w:rPr>
        <w:t xml:space="preserve">. </w:t>
      </w:r>
      <w:r w:rsidR="00AF171E">
        <w:rPr>
          <w:rFonts w:ascii="Calibri" w:hAnsi="Calibri" w:cs="Calibri"/>
        </w:rPr>
        <w:t>Il s’agit du taux le plus élevé depuis 2007.</w:t>
      </w:r>
    </w:p>
    <w:p w:rsidR="00AF171E" w:rsidRDefault="00AF171E" w:rsidP="00AF171E">
      <w:pPr>
        <w:jc w:val="both"/>
        <w:rPr>
          <w:rFonts w:ascii="Calibri" w:hAnsi="Calibri" w:cs="Calibri"/>
        </w:rPr>
      </w:pPr>
    </w:p>
    <w:p w:rsidR="00AF171E" w:rsidRPr="002436B1" w:rsidRDefault="00AF171E" w:rsidP="00AF171E">
      <w:pPr>
        <w:jc w:val="both"/>
        <w:rPr>
          <w:rFonts w:ascii="Calibri" w:hAnsi="Calibri" w:cs="Calibri"/>
        </w:rPr>
      </w:pPr>
      <w:r>
        <w:rPr>
          <w:rFonts w:ascii="Calibri" w:hAnsi="Calibri" w:cs="Calibri"/>
        </w:rPr>
        <w:t>61% des établissements de 50 à 99 salariés déclarent également avoir utilisé l’intérim en 2014 pour du personnel logistique, soit deux points de plus qu’en 2013.</w:t>
      </w:r>
    </w:p>
    <w:p w:rsidR="00B82AEC" w:rsidRDefault="00B82AEC" w:rsidP="002B1371">
      <w:pPr>
        <w:jc w:val="center"/>
        <w:rPr>
          <w:rFonts w:ascii="Calibri" w:hAnsi="Calibri" w:cs="Calibri"/>
          <w:b/>
          <w:bCs/>
        </w:rPr>
      </w:pPr>
    </w:p>
    <w:p w:rsidR="00CC0C7C" w:rsidRDefault="00CC0C7C">
      <w:pPr>
        <w:rPr>
          <w:rFonts w:ascii="Calibri" w:hAnsi="Calibri" w:cs="Calibri"/>
          <w:b/>
          <w:bCs/>
        </w:rPr>
      </w:pPr>
      <w:r>
        <w:rPr>
          <w:rFonts w:ascii="Calibri" w:hAnsi="Calibri" w:cs="Calibri"/>
          <w:b/>
          <w:bCs/>
        </w:rPr>
        <w:br w:type="page"/>
      </w:r>
    </w:p>
    <w:p w:rsidR="002B1371" w:rsidRPr="002436B1" w:rsidRDefault="002B1371" w:rsidP="002B1371">
      <w:pPr>
        <w:jc w:val="center"/>
        <w:rPr>
          <w:rFonts w:ascii="Calibri" w:hAnsi="Calibri" w:cs="Calibri"/>
          <w:b/>
          <w:bCs/>
        </w:rPr>
      </w:pPr>
      <w:r w:rsidRPr="002436B1">
        <w:rPr>
          <w:rFonts w:ascii="Calibri" w:hAnsi="Calibri" w:cs="Calibri"/>
          <w:b/>
          <w:bCs/>
        </w:rPr>
        <w:t>Proportion d’établissements ayant recours à l’intérim par secteur</w:t>
      </w:r>
    </w:p>
    <w:p w:rsidR="002B1371" w:rsidRPr="00B23B7E" w:rsidRDefault="002B1371" w:rsidP="002B1371">
      <w:pPr>
        <w:rPr>
          <w:rFonts w:ascii="Calibri" w:hAnsi="Calibri" w:cs="Calibri"/>
          <w:sz w:val="22"/>
        </w:rPr>
      </w:pPr>
    </w:p>
    <w:p w:rsidR="002B1371" w:rsidRPr="00174714" w:rsidRDefault="002B1371" w:rsidP="002B1371">
      <w:pPr>
        <w:rPr>
          <w:rFonts w:ascii="Calibri" w:hAnsi="Calibri" w:cs="Calibri"/>
          <w:i/>
        </w:rPr>
      </w:pPr>
      <w:r w:rsidRPr="002436B1">
        <w:rPr>
          <w:rFonts w:ascii="Calibri" w:hAnsi="Calibri" w:cs="Calibri"/>
          <w:bCs/>
          <w:i/>
        </w:rPr>
        <w:t>Etablissements de 100 salariés et plus</w:t>
      </w:r>
      <w:r w:rsidR="00174714">
        <w:rPr>
          <w:rFonts w:ascii="Calibri" w:hAnsi="Calibri" w:cs="Calibri"/>
          <w:bCs/>
          <w:i/>
        </w:rPr>
        <w:t xml:space="preserve">                                                                       </w:t>
      </w:r>
      <w:r w:rsidR="00174714" w:rsidRPr="002436B1">
        <w:rPr>
          <w:rFonts w:ascii="Calibri" w:hAnsi="Calibri" w:cs="Calibri"/>
          <w:i/>
        </w:rPr>
        <w:t>Eta</w:t>
      </w:r>
      <w:r w:rsidR="00174714">
        <w:rPr>
          <w:rFonts w:ascii="Calibri" w:hAnsi="Calibri" w:cs="Calibri"/>
          <w:i/>
        </w:rPr>
        <w:t>blissements de 50 à 99 salariés</w:t>
      </w:r>
    </w:p>
    <w:p w:rsidR="003D5D8A" w:rsidRDefault="003D5D8A" w:rsidP="002B1371">
      <w:pPr>
        <w:rPr>
          <w:rFonts w:ascii="Calibri" w:hAnsi="Calibri" w:cs="Calibri"/>
        </w:rPr>
      </w:pPr>
      <w:r>
        <w:rPr>
          <w:rFonts w:ascii="Calibri" w:hAnsi="Calibri" w:cs="Calibri"/>
          <w:noProof/>
        </w:rPr>
        <w:drawing>
          <wp:inline distT="0" distB="0" distL="0" distR="0" wp14:anchorId="54D71A51" wp14:editId="5B1976E8">
            <wp:extent cx="4619625" cy="5181600"/>
            <wp:effectExtent l="0" t="0" r="9525" b="19050"/>
            <wp:docPr id="82" name="Graphique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174714">
        <w:rPr>
          <w:rFonts w:ascii="Calibri" w:hAnsi="Calibri" w:cs="Calibri"/>
        </w:rPr>
        <w:t xml:space="preserve"> </w:t>
      </w:r>
      <w:r w:rsidR="00174714">
        <w:rPr>
          <w:rFonts w:ascii="Calibri" w:hAnsi="Calibri" w:cs="Calibri"/>
          <w:noProof/>
        </w:rPr>
        <w:drawing>
          <wp:inline distT="0" distB="0" distL="0" distR="0" wp14:anchorId="7AF3882E" wp14:editId="6BBC4E1C">
            <wp:extent cx="4619625" cy="5181600"/>
            <wp:effectExtent l="0" t="0" r="9525" b="19050"/>
            <wp:docPr id="83" name="Graphique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1043D" w:rsidRPr="0091043D" w:rsidRDefault="0091043D" w:rsidP="002B1371">
      <w:pPr>
        <w:jc w:val="both"/>
        <w:rPr>
          <w:rFonts w:ascii="Calibri" w:hAnsi="Calibri" w:cs="Calibri"/>
          <w:sz w:val="12"/>
          <w:szCs w:val="12"/>
        </w:rPr>
      </w:pPr>
    </w:p>
    <w:p w:rsidR="0033003C" w:rsidRDefault="0033003C" w:rsidP="00195472">
      <w:pPr>
        <w:jc w:val="both"/>
        <w:rPr>
          <w:rFonts w:ascii="Arial Black" w:hAnsi="Arial Black" w:cs="Calibri"/>
          <w:b/>
          <w:bCs/>
          <w:color w:val="632423"/>
        </w:rPr>
      </w:pPr>
      <w:r>
        <w:rPr>
          <w:rFonts w:ascii="Calibri" w:hAnsi="Calibri" w:cs="Calibri"/>
        </w:rPr>
        <w:t>L’augmentation en 2014 du nombre d’établissements ayant eu recours à l’intérim pour des emplois logistiques est particulièrement notable chez les prestataires transport-logistique. En effet,</w:t>
      </w:r>
      <w:r w:rsidR="00195472">
        <w:rPr>
          <w:rFonts w:ascii="Calibri" w:hAnsi="Calibri" w:cs="Calibri"/>
        </w:rPr>
        <w:t xml:space="preserve"> l</w:t>
      </w:r>
      <w:r>
        <w:rPr>
          <w:rFonts w:ascii="Calibri" w:hAnsi="Calibri" w:cs="Calibri"/>
        </w:rPr>
        <w:t>eur nombre a été multiplié par 1,3</w:t>
      </w:r>
      <w:r w:rsidR="00195472">
        <w:rPr>
          <w:rFonts w:ascii="Calibri" w:hAnsi="Calibri" w:cs="Calibri"/>
        </w:rPr>
        <w:t xml:space="preserve"> au sein </w:t>
      </w:r>
      <w:r w:rsidR="007664B0">
        <w:rPr>
          <w:rFonts w:ascii="Calibri" w:hAnsi="Calibri" w:cs="Calibri"/>
        </w:rPr>
        <w:t>des</w:t>
      </w:r>
      <w:r w:rsidR="00195472">
        <w:rPr>
          <w:rFonts w:ascii="Calibri" w:hAnsi="Calibri" w:cs="Calibri"/>
        </w:rPr>
        <w:t xml:space="preserve"> 100 salariés et plus</w:t>
      </w:r>
      <w:r>
        <w:rPr>
          <w:rFonts w:ascii="Calibri" w:hAnsi="Calibri" w:cs="Calibri"/>
        </w:rPr>
        <w:t xml:space="preserve">. </w:t>
      </w:r>
      <w:r w:rsidR="00195472">
        <w:rPr>
          <w:rFonts w:ascii="Calibri" w:hAnsi="Calibri" w:cs="Calibri"/>
        </w:rPr>
        <w:t xml:space="preserve">Ils sont désormais 78% à </w:t>
      </w:r>
      <w:r w:rsidR="007664B0">
        <w:rPr>
          <w:rFonts w:ascii="Calibri" w:hAnsi="Calibri" w:cs="Calibri"/>
        </w:rPr>
        <w:t>utiliser cette formule (comme en 2009-2010), après moins de 60% en 2012-2013.</w:t>
      </w:r>
      <w:r w:rsidR="00195472">
        <w:rPr>
          <w:rFonts w:ascii="Calibri" w:hAnsi="Calibri" w:cs="Calibri"/>
        </w:rPr>
        <w:t xml:space="preserve"> </w:t>
      </w:r>
      <w:r>
        <w:rPr>
          <w:rFonts w:ascii="Arial Black" w:hAnsi="Arial Black" w:cs="Calibri"/>
          <w:b/>
          <w:bCs/>
          <w:color w:val="632423"/>
        </w:rPr>
        <w:br w:type="page"/>
      </w:r>
    </w:p>
    <w:p w:rsidR="002B1371" w:rsidRPr="00D46E0D" w:rsidRDefault="005B0C95" w:rsidP="002B1371">
      <w:pPr>
        <w:rPr>
          <w:rFonts w:ascii="Arial Black" w:hAnsi="Arial Black" w:cs="Calibri"/>
          <w:b/>
          <w:bCs/>
          <w:color w:val="632423"/>
        </w:rPr>
      </w:pPr>
      <w:r>
        <w:rPr>
          <w:rFonts w:ascii="Arial Black" w:hAnsi="Arial Black" w:cs="Calibri"/>
          <w:b/>
          <w:bCs/>
          <w:color w:val="632423"/>
        </w:rPr>
        <w:t xml:space="preserve">Pourtant les sondés </w:t>
      </w:r>
      <w:r w:rsidR="008344F9">
        <w:rPr>
          <w:rFonts w:ascii="Arial Black" w:hAnsi="Arial Black" w:cs="Calibri"/>
          <w:b/>
          <w:bCs/>
          <w:color w:val="632423"/>
        </w:rPr>
        <w:t>estiment</w:t>
      </w:r>
      <w:r>
        <w:rPr>
          <w:rFonts w:ascii="Arial Black" w:hAnsi="Arial Black" w:cs="Calibri"/>
          <w:b/>
          <w:bCs/>
          <w:color w:val="632423"/>
        </w:rPr>
        <w:t xml:space="preserve"> comme l’an dernier que </w:t>
      </w:r>
      <w:r w:rsidR="008344F9">
        <w:rPr>
          <w:rFonts w:ascii="Arial Black" w:hAnsi="Arial Black" w:cs="Calibri"/>
          <w:b/>
          <w:bCs/>
          <w:color w:val="632423"/>
        </w:rPr>
        <w:t>le nombre d’opérateurs logistiques en intérim va diminuer</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Evolution prévisionnelle du nombre d’opérateurs logistiques en intérim en 201</w:t>
      </w:r>
      <w:r w:rsidR="005B0C95">
        <w:rPr>
          <w:rFonts w:ascii="Calibri" w:hAnsi="Calibri" w:cs="Calibri"/>
          <w:b/>
          <w:bCs/>
        </w:rPr>
        <w:t>5</w:t>
      </w:r>
    </w:p>
    <w:p w:rsidR="002B1371" w:rsidRPr="002436B1" w:rsidRDefault="002B1371" w:rsidP="002B1371">
      <w:pPr>
        <w:rPr>
          <w:rFonts w:ascii="Calibri" w:hAnsi="Calibri" w:cs="Calibri"/>
          <w:i/>
          <w:iCs/>
        </w:rPr>
      </w:pPr>
    </w:p>
    <w:p w:rsidR="00AB3D20" w:rsidRPr="002436B1" w:rsidRDefault="002B1371" w:rsidP="00AB3D20">
      <w:pPr>
        <w:rPr>
          <w:rFonts w:ascii="Calibri" w:hAnsi="Calibri" w:cs="Calibri"/>
          <w:i/>
          <w:iCs/>
        </w:rPr>
      </w:pPr>
      <w:r w:rsidRPr="002436B1">
        <w:rPr>
          <w:rFonts w:ascii="Calibri" w:hAnsi="Calibri" w:cs="Calibri"/>
          <w:i/>
          <w:iCs/>
        </w:rPr>
        <w:t>Etablissements de 100 salariés et plus</w:t>
      </w:r>
      <w:r w:rsidR="00AB3D20" w:rsidRPr="00AB3D20">
        <w:rPr>
          <w:rFonts w:ascii="Calibri" w:hAnsi="Calibri" w:cs="Calibri"/>
          <w:i/>
          <w:iCs/>
        </w:rPr>
        <w:t xml:space="preserve"> </w:t>
      </w:r>
      <w:r w:rsidR="00FF210D">
        <w:rPr>
          <w:rFonts w:ascii="Calibri" w:hAnsi="Calibri" w:cs="Calibri"/>
          <w:i/>
          <w:iCs/>
        </w:rPr>
        <w:t xml:space="preserve">                                                               </w:t>
      </w:r>
      <w:r w:rsidR="00AB3D20" w:rsidRPr="002436B1">
        <w:rPr>
          <w:rFonts w:ascii="Calibri" w:hAnsi="Calibri" w:cs="Calibri"/>
          <w:i/>
          <w:iCs/>
        </w:rPr>
        <w:t>Etablissements de 50 à 99 salariés</w:t>
      </w:r>
      <w:r w:rsidR="00AB3D20" w:rsidRPr="00AB3D20">
        <w:rPr>
          <w:rFonts w:ascii="Calibri" w:hAnsi="Calibri" w:cs="Calibri"/>
          <w:noProof/>
        </w:rPr>
        <w:t xml:space="preserve"> </w:t>
      </w:r>
    </w:p>
    <w:p w:rsidR="00AB3D20" w:rsidRDefault="00AB3D20" w:rsidP="002B1371">
      <w:pPr>
        <w:rPr>
          <w:rFonts w:ascii="Calibri" w:hAnsi="Calibri" w:cs="Calibri"/>
          <w:i/>
          <w:iCs/>
        </w:rPr>
      </w:pPr>
      <w:r>
        <w:rPr>
          <w:rFonts w:ascii="Calibri" w:hAnsi="Calibri" w:cs="Calibri"/>
          <w:i/>
          <w:iCs/>
          <w:noProof/>
        </w:rPr>
        <w:drawing>
          <wp:inline distT="0" distB="0" distL="0" distR="0" wp14:anchorId="320D7CB0" wp14:editId="4A7530CC">
            <wp:extent cx="4400550" cy="3752850"/>
            <wp:effectExtent l="0" t="0" r="19050" b="19050"/>
            <wp:docPr id="84" name="Graphique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B3D20">
        <w:rPr>
          <w:rFonts w:ascii="Calibri" w:hAnsi="Calibri" w:cs="Calibri"/>
          <w:noProof/>
        </w:rPr>
        <w:t xml:space="preserve"> </w:t>
      </w:r>
      <w:r>
        <w:rPr>
          <w:rFonts w:ascii="Calibri" w:hAnsi="Calibri" w:cs="Calibri"/>
          <w:noProof/>
        </w:rPr>
        <w:drawing>
          <wp:inline distT="0" distB="0" distL="0" distR="0" wp14:anchorId="0CDDD92E" wp14:editId="35E16FBC">
            <wp:extent cx="4400550" cy="3762375"/>
            <wp:effectExtent l="0" t="0" r="19050" b="9525"/>
            <wp:docPr id="43" name="Obje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B1371" w:rsidRPr="002436B1" w:rsidRDefault="002B1371" w:rsidP="002B1371">
      <w:pPr>
        <w:rPr>
          <w:rFonts w:ascii="Calibri" w:hAnsi="Calibri" w:cs="Calibri"/>
        </w:rPr>
      </w:pPr>
    </w:p>
    <w:p w:rsidR="00AB3D20" w:rsidRDefault="00AB3D20" w:rsidP="002B1371">
      <w:pPr>
        <w:jc w:val="both"/>
        <w:rPr>
          <w:rFonts w:ascii="Calibri" w:hAnsi="Calibri" w:cs="Calibri"/>
        </w:rPr>
      </w:pPr>
    </w:p>
    <w:p w:rsidR="002B1371" w:rsidRPr="002436B1" w:rsidRDefault="00387702" w:rsidP="002B1371">
      <w:pPr>
        <w:jc w:val="both"/>
        <w:rPr>
          <w:rFonts w:ascii="Calibri" w:hAnsi="Calibri" w:cs="Calibri"/>
        </w:rPr>
      </w:pPr>
      <w:r>
        <w:rPr>
          <w:rFonts w:ascii="Calibri" w:hAnsi="Calibri" w:cs="Calibri"/>
        </w:rPr>
        <w:t>Pour q</w:t>
      </w:r>
      <w:r w:rsidR="008344F9">
        <w:rPr>
          <w:rFonts w:ascii="Calibri" w:hAnsi="Calibri" w:cs="Calibri"/>
        </w:rPr>
        <w:t>uasiment tous les</w:t>
      </w:r>
      <w:r>
        <w:rPr>
          <w:rFonts w:ascii="Calibri" w:hAnsi="Calibri" w:cs="Calibri"/>
        </w:rPr>
        <w:t xml:space="preserve"> secteurs d’activité, le nombre d’établissements prévoyant une baisse du nombre d’opérateurs logistiques en intérim est supérieur au nombre de ceux anticipant leur augmentation</w:t>
      </w:r>
      <w:r w:rsidR="002B1371" w:rsidRPr="002436B1">
        <w:rPr>
          <w:rFonts w:ascii="Calibri" w:hAnsi="Calibri" w:cs="Calibri"/>
        </w:rPr>
        <w:t>.</w:t>
      </w:r>
      <w:r>
        <w:rPr>
          <w:rFonts w:ascii="Calibri" w:hAnsi="Calibri" w:cs="Calibri"/>
        </w:rPr>
        <w:t xml:space="preserve"> Ce différentiel est </w:t>
      </w:r>
      <w:r w:rsidR="003D6DC4">
        <w:rPr>
          <w:rFonts w:ascii="Calibri" w:hAnsi="Calibri" w:cs="Calibri"/>
        </w:rPr>
        <w:t xml:space="preserve">notamment </w:t>
      </w:r>
      <w:r>
        <w:rPr>
          <w:rFonts w:ascii="Calibri" w:hAnsi="Calibri" w:cs="Calibri"/>
        </w:rPr>
        <w:t xml:space="preserve">marqué chez les prestataires transport-logistique : 24% </w:t>
      </w:r>
      <w:r w:rsidR="003D6DC4">
        <w:rPr>
          <w:rFonts w:ascii="Calibri" w:hAnsi="Calibri" w:cs="Calibri"/>
        </w:rPr>
        <w:t>des</w:t>
      </w:r>
      <w:r>
        <w:rPr>
          <w:rFonts w:ascii="Calibri" w:hAnsi="Calibri" w:cs="Calibri"/>
        </w:rPr>
        <w:t xml:space="preserve"> établissements de 100 salariés et plus </w:t>
      </w:r>
      <w:r w:rsidR="003D6DC4">
        <w:rPr>
          <w:rFonts w:ascii="Calibri" w:hAnsi="Calibri" w:cs="Calibri"/>
        </w:rPr>
        <w:t xml:space="preserve">de transport-logistique </w:t>
      </w:r>
      <w:r>
        <w:rPr>
          <w:rFonts w:ascii="Calibri" w:hAnsi="Calibri" w:cs="Calibri"/>
        </w:rPr>
        <w:t xml:space="preserve">estiment que les intérimaires aux postes d’opérateurs logistiques seront moins nombreux en 2015, et 4% seulement </w:t>
      </w:r>
      <w:r w:rsidR="003D6DC4">
        <w:rPr>
          <w:rFonts w:ascii="Calibri" w:hAnsi="Calibri" w:cs="Calibri"/>
        </w:rPr>
        <w:t>s’attendent à ce que leur nombre progresse.</w:t>
      </w:r>
    </w:p>
    <w:p w:rsidR="002B1371" w:rsidRDefault="002B1371" w:rsidP="002B1371">
      <w:pPr>
        <w:jc w:val="both"/>
        <w:rPr>
          <w:rFonts w:ascii="Calibri" w:hAnsi="Calibri" w:cs="Calibri"/>
        </w:rPr>
      </w:pPr>
    </w:p>
    <w:p w:rsidR="003D6DC4" w:rsidRDefault="003D6DC4" w:rsidP="002B1371">
      <w:pPr>
        <w:jc w:val="both"/>
        <w:rPr>
          <w:rFonts w:ascii="Calibri" w:hAnsi="Calibri" w:cs="Calibri"/>
        </w:rPr>
      </w:pPr>
    </w:p>
    <w:p w:rsidR="003D6DC4" w:rsidRDefault="003D6DC4" w:rsidP="002B1371">
      <w:pPr>
        <w:jc w:val="both"/>
        <w:rPr>
          <w:rFonts w:ascii="Calibri" w:hAnsi="Calibri" w:cs="Calibri"/>
        </w:rPr>
      </w:pPr>
    </w:p>
    <w:p w:rsidR="003D6DC4" w:rsidRDefault="003D6DC4" w:rsidP="002B1371">
      <w:pPr>
        <w:jc w:val="both"/>
        <w:rPr>
          <w:rFonts w:ascii="Calibri" w:hAnsi="Calibri" w:cs="Calibri"/>
        </w:rPr>
      </w:pPr>
    </w:p>
    <w:p w:rsidR="006E18BE" w:rsidRPr="007D6AE2" w:rsidRDefault="007D6AE2" w:rsidP="007D6AE2">
      <w:pPr>
        <w:rPr>
          <w:rFonts w:ascii="Arial Black" w:hAnsi="Arial Black" w:cs="Calibri"/>
          <w:b/>
          <w:bCs/>
          <w:color w:val="632423"/>
        </w:rPr>
      </w:pPr>
      <w:r>
        <w:rPr>
          <w:rFonts w:ascii="Arial Black" w:hAnsi="Arial Black" w:cs="Calibri"/>
          <w:b/>
          <w:bCs/>
          <w:color w:val="632423"/>
        </w:rPr>
        <w:t>L’émergence de</w:t>
      </w:r>
      <w:r w:rsidRPr="007D6AE2">
        <w:rPr>
          <w:rFonts w:ascii="Arial Black" w:hAnsi="Arial Black" w:cs="Calibri"/>
          <w:b/>
          <w:bCs/>
          <w:color w:val="632423"/>
        </w:rPr>
        <w:t xml:space="preserve"> nouvelles formes </w:t>
      </w:r>
      <w:r>
        <w:rPr>
          <w:rFonts w:ascii="Arial Black" w:hAnsi="Arial Black" w:cs="Calibri"/>
          <w:b/>
          <w:bCs/>
          <w:color w:val="632423"/>
        </w:rPr>
        <w:t>de recours à</w:t>
      </w:r>
      <w:r w:rsidRPr="007D6AE2">
        <w:rPr>
          <w:rFonts w:ascii="Arial Black" w:hAnsi="Arial Black" w:cs="Calibri"/>
          <w:b/>
          <w:bCs/>
          <w:color w:val="632423"/>
        </w:rPr>
        <w:t xml:space="preserve"> une main d’œuvre logistique externe</w:t>
      </w:r>
    </w:p>
    <w:p w:rsidR="006E18BE" w:rsidRDefault="006E18BE" w:rsidP="002B1371">
      <w:pPr>
        <w:jc w:val="both"/>
        <w:rPr>
          <w:rFonts w:ascii="Calibri" w:hAnsi="Calibri" w:cs="Calibri"/>
        </w:rPr>
      </w:pPr>
    </w:p>
    <w:p w:rsidR="007D6AE2" w:rsidRDefault="007D6AE2" w:rsidP="002B1371">
      <w:pPr>
        <w:jc w:val="both"/>
        <w:rPr>
          <w:rFonts w:ascii="Calibri" w:hAnsi="Calibri" w:cs="Calibri"/>
        </w:rPr>
      </w:pPr>
    </w:p>
    <w:p w:rsidR="006E18BE" w:rsidRPr="0067488C" w:rsidRDefault="0067488C" w:rsidP="0067488C">
      <w:pPr>
        <w:jc w:val="center"/>
        <w:rPr>
          <w:rFonts w:ascii="Calibri" w:hAnsi="Calibri" w:cs="Calibri"/>
          <w:b/>
          <w:bCs/>
        </w:rPr>
      </w:pPr>
      <w:r w:rsidRPr="0067488C">
        <w:rPr>
          <w:rFonts w:ascii="Calibri" w:hAnsi="Calibri" w:cs="Calibri"/>
          <w:b/>
          <w:bCs/>
        </w:rPr>
        <w:t xml:space="preserve">Recours à des groupements </w:t>
      </w:r>
      <w:r>
        <w:rPr>
          <w:rFonts w:ascii="Calibri" w:hAnsi="Calibri" w:cs="Calibri"/>
          <w:b/>
          <w:bCs/>
        </w:rPr>
        <w:t>d’</w:t>
      </w:r>
      <w:r w:rsidRPr="0067488C">
        <w:rPr>
          <w:rFonts w:ascii="Calibri" w:hAnsi="Calibri" w:cs="Calibri"/>
          <w:b/>
          <w:bCs/>
        </w:rPr>
        <w:t>employeurs (en % d’établissements)</w:t>
      </w:r>
    </w:p>
    <w:tbl>
      <w:tblPr>
        <w:tblStyle w:val="Trameclaire-Accent1"/>
        <w:tblW w:w="11529" w:type="dxa"/>
        <w:tblLook w:val="04A0" w:firstRow="1" w:lastRow="0" w:firstColumn="1" w:lastColumn="0" w:noHBand="0" w:noVBand="1"/>
      </w:tblPr>
      <w:tblGrid>
        <w:gridCol w:w="1809"/>
        <w:gridCol w:w="1080"/>
        <w:gridCol w:w="1080"/>
        <w:gridCol w:w="1080"/>
        <w:gridCol w:w="1080"/>
        <w:gridCol w:w="1080"/>
        <w:gridCol w:w="1080"/>
        <w:gridCol w:w="1080"/>
        <w:gridCol w:w="1080"/>
        <w:gridCol w:w="1080"/>
      </w:tblGrid>
      <w:tr w:rsidR="003D6DC4" w:rsidRPr="001A1D51" w:rsidTr="00B41DC8">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09" w:type="dxa"/>
            <w:noWrap/>
            <w:hideMark/>
          </w:tcPr>
          <w:p w:rsidR="003D6DC4" w:rsidRPr="001A1D51" w:rsidRDefault="003D6DC4">
            <w:pPr>
              <w:rPr>
                <w:rFonts w:ascii="Calibri" w:hAnsi="Calibri" w:cs="Calibri"/>
                <w:b w:val="0"/>
                <w:color w:val="000000"/>
                <w:sz w:val="22"/>
                <w:szCs w:val="20"/>
              </w:rPr>
            </w:pP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IAA</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PHAR</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AUTO</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IEM</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CHIM</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COM</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TRM</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PRL</w:t>
            </w:r>
          </w:p>
        </w:tc>
        <w:tc>
          <w:tcPr>
            <w:tcW w:w="1080" w:type="dxa"/>
            <w:noWrap/>
            <w:vAlign w:val="center"/>
            <w:hideMark/>
          </w:tcPr>
          <w:p w:rsidR="003D6DC4" w:rsidRPr="001A1D51" w:rsidRDefault="003D6DC4" w:rsidP="00B41DC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Total</w:t>
            </w:r>
          </w:p>
        </w:tc>
      </w:tr>
      <w:tr w:rsidR="00B41DC8" w:rsidRPr="001A1D51" w:rsidTr="00B41DC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09" w:type="dxa"/>
            <w:noWrap/>
            <w:hideMark/>
          </w:tcPr>
          <w:p w:rsidR="003D6DC4" w:rsidRPr="001A1D51" w:rsidRDefault="0067488C">
            <w:pPr>
              <w:rPr>
                <w:rFonts w:ascii="Calibri" w:hAnsi="Calibri" w:cs="Calibri"/>
                <w:b w:val="0"/>
                <w:color w:val="000000"/>
                <w:sz w:val="22"/>
                <w:szCs w:val="20"/>
              </w:rPr>
            </w:pPr>
            <w:r w:rsidRPr="001A1D51">
              <w:rPr>
                <w:rFonts w:ascii="Calibri" w:hAnsi="Calibri" w:cs="Calibri"/>
                <w:b w:val="0"/>
                <w:color w:val="000000"/>
                <w:sz w:val="22"/>
                <w:szCs w:val="20"/>
              </w:rPr>
              <w:t>Réalisé 2014</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8%</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2%</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2%</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5%</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5%</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2%</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17%</w:t>
            </w:r>
          </w:p>
        </w:tc>
        <w:tc>
          <w:tcPr>
            <w:tcW w:w="1080" w:type="dxa"/>
            <w:noWrap/>
            <w:vAlign w:val="center"/>
            <w:hideMark/>
          </w:tcPr>
          <w:p w:rsidR="003D6DC4" w:rsidRPr="001A1D51" w:rsidRDefault="003D6DC4" w:rsidP="00B41DC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5%</w:t>
            </w:r>
          </w:p>
        </w:tc>
      </w:tr>
      <w:tr w:rsidR="006E18BE" w:rsidRPr="001A1D51" w:rsidTr="00B41DC8">
        <w:trPr>
          <w:trHeight w:val="22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E18BE" w:rsidRPr="001A1D51" w:rsidRDefault="0067488C">
            <w:pPr>
              <w:rPr>
                <w:rFonts w:ascii="Calibri" w:hAnsi="Calibri" w:cs="Calibri"/>
                <w:b w:val="0"/>
                <w:color w:val="000000"/>
                <w:sz w:val="22"/>
                <w:szCs w:val="20"/>
              </w:rPr>
            </w:pPr>
            <w:r w:rsidRPr="001A1D51">
              <w:rPr>
                <w:rFonts w:ascii="Calibri" w:hAnsi="Calibri" w:cs="Calibri"/>
                <w:b w:val="0"/>
                <w:color w:val="000000"/>
                <w:sz w:val="22"/>
                <w:szCs w:val="20"/>
              </w:rPr>
              <w:t>Prévisionnel 2015</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12%</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9%</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5%</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2%</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7%</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8%</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6%</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19%</w:t>
            </w:r>
          </w:p>
        </w:tc>
        <w:tc>
          <w:tcPr>
            <w:tcW w:w="1080" w:type="dxa"/>
            <w:noWrap/>
            <w:vAlign w:val="center"/>
            <w:hideMark/>
          </w:tcPr>
          <w:p w:rsidR="006E18BE" w:rsidRPr="001A1D51" w:rsidRDefault="006E18BE" w:rsidP="00B41DC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8%</w:t>
            </w:r>
          </w:p>
        </w:tc>
      </w:tr>
    </w:tbl>
    <w:p w:rsidR="008E405B" w:rsidRDefault="008E405B" w:rsidP="002B1371">
      <w:pPr>
        <w:jc w:val="both"/>
        <w:rPr>
          <w:rFonts w:ascii="Arial" w:hAnsi="Arial" w:cs="Arial"/>
          <w:i/>
          <w:iCs/>
          <w:color w:val="000000"/>
          <w:sz w:val="21"/>
          <w:szCs w:val="21"/>
          <w:shd w:val="clear" w:color="auto" w:fill="FFFFFF"/>
        </w:rPr>
      </w:pPr>
    </w:p>
    <w:p w:rsidR="008E405B" w:rsidRDefault="00C83036" w:rsidP="002B1371">
      <w:pPr>
        <w:jc w:val="both"/>
        <w:rPr>
          <w:rFonts w:ascii="Calibri" w:hAnsi="Calibri" w:cs="Calibri"/>
        </w:rPr>
      </w:pPr>
      <w:r>
        <w:rPr>
          <w:rFonts w:ascii="Calibri" w:hAnsi="Calibri" w:cs="Calibri"/>
        </w:rPr>
        <w:t>L</w:t>
      </w:r>
      <w:r w:rsidR="008E405B" w:rsidRPr="008E405B">
        <w:rPr>
          <w:rFonts w:ascii="Calibri" w:hAnsi="Calibri" w:cs="Calibri"/>
        </w:rPr>
        <w:t>es salariés d</w:t>
      </w:r>
      <w:r>
        <w:rPr>
          <w:rFonts w:ascii="Calibri" w:hAnsi="Calibri" w:cs="Calibri"/>
        </w:rPr>
        <w:t>’un</w:t>
      </w:r>
      <w:r w:rsidR="008E405B" w:rsidRPr="008E405B">
        <w:rPr>
          <w:rFonts w:ascii="Calibri" w:hAnsi="Calibri" w:cs="Calibri"/>
        </w:rPr>
        <w:t xml:space="preserve"> groupement d’employeurs effectuent des périodes de travail successives auprès de chacune des entreprises adhérentes au groupement</w:t>
      </w:r>
      <w:r w:rsidR="00D04880">
        <w:rPr>
          <w:rFonts w:ascii="Calibri" w:hAnsi="Calibri" w:cs="Calibri"/>
        </w:rPr>
        <w:t>.</w:t>
      </w:r>
      <w:r w:rsidR="008E405B" w:rsidRPr="008E405B">
        <w:rPr>
          <w:rFonts w:ascii="Calibri" w:hAnsi="Calibri" w:cs="Calibri"/>
        </w:rPr>
        <w:t xml:space="preserve"> </w:t>
      </w:r>
      <w:r w:rsidR="00D04880">
        <w:rPr>
          <w:rFonts w:ascii="Calibri" w:hAnsi="Calibri" w:cs="Calibri"/>
        </w:rPr>
        <w:t>Du point de vue employeur, cette forme de travail présente des avantages de flexibilité alliés à une fidélisation des compétences.</w:t>
      </w:r>
    </w:p>
    <w:p w:rsidR="008E405B" w:rsidRDefault="008E405B" w:rsidP="002B1371">
      <w:pPr>
        <w:jc w:val="both"/>
        <w:rPr>
          <w:rFonts w:ascii="Calibri" w:hAnsi="Calibri" w:cs="Calibri"/>
        </w:rPr>
      </w:pPr>
    </w:p>
    <w:p w:rsidR="003D6DC4" w:rsidRDefault="0067488C" w:rsidP="002B1371">
      <w:pPr>
        <w:jc w:val="both"/>
        <w:rPr>
          <w:rFonts w:ascii="Calibri" w:hAnsi="Calibri" w:cs="Calibri"/>
        </w:rPr>
      </w:pPr>
      <w:r>
        <w:rPr>
          <w:rFonts w:ascii="Calibri" w:hAnsi="Calibri" w:cs="Calibri"/>
        </w:rPr>
        <w:t>Pour l’heure, seulement 5% des établissements interrogés déclarent faire appel à des groupements d’employeurs pour leur</w:t>
      </w:r>
      <w:r w:rsidR="00C83036">
        <w:rPr>
          <w:rFonts w:ascii="Calibri" w:hAnsi="Calibri" w:cs="Calibri"/>
        </w:rPr>
        <w:t>s</w:t>
      </w:r>
      <w:r>
        <w:rPr>
          <w:rFonts w:ascii="Calibri" w:hAnsi="Calibri" w:cs="Calibri"/>
        </w:rPr>
        <w:t xml:space="preserve"> besoins en main d’œuvre logistique, mais ce chiffre pourrait progresser dans les années à venir ; 8% ont déjà des projets en ce sens en 2015.</w:t>
      </w:r>
    </w:p>
    <w:p w:rsidR="0067488C" w:rsidRDefault="0067488C" w:rsidP="002B1371">
      <w:pPr>
        <w:jc w:val="both"/>
        <w:rPr>
          <w:rFonts w:ascii="Calibri" w:hAnsi="Calibri" w:cs="Calibri"/>
        </w:rPr>
      </w:pPr>
      <w:r>
        <w:rPr>
          <w:rFonts w:ascii="Calibri" w:hAnsi="Calibri" w:cs="Calibri"/>
        </w:rPr>
        <w:t>D’ailleurs, le phénomène est loin d’être rare parmi les prestataires logistique</w:t>
      </w:r>
      <w:r w:rsidR="007D6AE2">
        <w:rPr>
          <w:rFonts w:ascii="Calibri" w:hAnsi="Calibri" w:cs="Calibri"/>
        </w:rPr>
        <w:t>s</w:t>
      </w:r>
      <w:r>
        <w:rPr>
          <w:rFonts w:ascii="Calibri" w:hAnsi="Calibri" w:cs="Calibri"/>
        </w:rPr>
        <w:t xml:space="preserve"> qui sont 17% à déclarer s’appuyer sur des salariés issus de groupements d’employeurs</w:t>
      </w:r>
      <w:r w:rsidR="00D04880">
        <w:rPr>
          <w:rFonts w:ascii="Calibri" w:hAnsi="Calibri" w:cs="Calibri"/>
        </w:rPr>
        <w:t>.</w:t>
      </w:r>
      <w:r>
        <w:rPr>
          <w:rFonts w:ascii="Calibri" w:hAnsi="Calibri" w:cs="Calibri"/>
        </w:rPr>
        <w:t xml:space="preserve"> </w:t>
      </w:r>
    </w:p>
    <w:p w:rsidR="008E405B" w:rsidRDefault="008E405B" w:rsidP="002B1371">
      <w:pPr>
        <w:jc w:val="both"/>
        <w:rPr>
          <w:rFonts w:ascii="Calibri" w:hAnsi="Calibri" w:cs="Calibri"/>
        </w:rPr>
      </w:pPr>
    </w:p>
    <w:p w:rsidR="0067488C" w:rsidRDefault="007D6AE2" w:rsidP="002B1371">
      <w:pPr>
        <w:jc w:val="both"/>
        <w:rPr>
          <w:rFonts w:ascii="Calibri" w:hAnsi="Calibri" w:cs="Calibri"/>
        </w:rPr>
      </w:pPr>
      <w:r>
        <w:rPr>
          <w:rFonts w:ascii="Calibri" w:hAnsi="Calibri" w:cs="Calibri"/>
        </w:rPr>
        <w:t>Dans les trois quart des cas, ces personnes sont affectées à des postes d’opérateurs logistiques.</w:t>
      </w:r>
    </w:p>
    <w:p w:rsidR="007D6AE2" w:rsidRDefault="007D6AE2" w:rsidP="002B1371">
      <w:pPr>
        <w:jc w:val="both"/>
        <w:rPr>
          <w:rFonts w:ascii="Calibri" w:hAnsi="Calibri" w:cs="Calibri"/>
        </w:rPr>
      </w:pPr>
    </w:p>
    <w:p w:rsidR="007D6AE2" w:rsidRDefault="007D6AE2" w:rsidP="002B1371">
      <w:pPr>
        <w:jc w:val="both"/>
        <w:rPr>
          <w:rFonts w:ascii="Calibri" w:hAnsi="Calibri" w:cs="Calibri"/>
        </w:rPr>
      </w:pPr>
    </w:p>
    <w:p w:rsidR="007D6AE2" w:rsidRPr="0067488C" w:rsidRDefault="007D6AE2" w:rsidP="007D6AE2">
      <w:pPr>
        <w:jc w:val="center"/>
        <w:rPr>
          <w:rFonts w:ascii="Calibri" w:hAnsi="Calibri" w:cs="Calibri"/>
          <w:b/>
          <w:bCs/>
        </w:rPr>
      </w:pPr>
      <w:r w:rsidRPr="0067488C">
        <w:rPr>
          <w:rFonts w:ascii="Calibri" w:hAnsi="Calibri" w:cs="Calibri"/>
          <w:b/>
          <w:bCs/>
        </w:rPr>
        <w:t xml:space="preserve">Recours à </w:t>
      </w:r>
      <w:r>
        <w:rPr>
          <w:rFonts w:ascii="Calibri" w:hAnsi="Calibri" w:cs="Calibri"/>
          <w:b/>
          <w:bCs/>
        </w:rPr>
        <w:t>du portage salarial</w:t>
      </w:r>
      <w:r w:rsidRPr="0067488C">
        <w:rPr>
          <w:rFonts w:ascii="Calibri" w:hAnsi="Calibri" w:cs="Calibri"/>
          <w:b/>
          <w:bCs/>
        </w:rPr>
        <w:t xml:space="preserve"> (en % d’établissements)</w:t>
      </w:r>
    </w:p>
    <w:tbl>
      <w:tblPr>
        <w:tblStyle w:val="Trameclaire-Accent1"/>
        <w:tblW w:w="11529" w:type="dxa"/>
        <w:tblLook w:val="04A0" w:firstRow="1" w:lastRow="0" w:firstColumn="1" w:lastColumn="0" w:noHBand="0" w:noVBand="1"/>
      </w:tblPr>
      <w:tblGrid>
        <w:gridCol w:w="1809"/>
        <w:gridCol w:w="1080"/>
        <w:gridCol w:w="1080"/>
        <w:gridCol w:w="1080"/>
        <w:gridCol w:w="1080"/>
        <w:gridCol w:w="1080"/>
        <w:gridCol w:w="1080"/>
        <w:gridCol w:w="1080"/>
        <w:gridCol w:w="1080"/>
        <w:gridCol w:w="1080"/>
      </w:tblGrid>
      <w:tr w:rsidR="007D6AE2" w:rsidRPr="001A1D51" w:rsidTr="001A1D5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09" w:type="dxa"/>
            <w:noWrap/>
            <w:hideMark/>
          </w:tcPr>
          <w:p w:rsidR="007D6AE2" w:rsidRPr="001A1D51" w:rsidRDefault="007D6AE2" w:rsidP="001A1D51">
            <w:pPr>
              <w:rPr>
                <w:rFonts w:ascii="Calibri" w:hAnsi="Calibri" w:cs="Calibri"/>
                <w:b w:val="0"/>
                <w:color w:val="000000"/>
                <w:sz w:val="22"/>
                <w:szCs w:val="20"/>
              </w:rPr>
            </w:pP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IAA</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PHAR</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AUTO</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IEM</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CHIM</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COM</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TRM</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PRL</w:t>
            </w:r>
          </w:p>
        </w:tc>
        <w:tc>
          <w:tcPr>
            <w:tcW w:w="1080" w:type="dxa"/>
            <w:noWrap/>
            <w:hideMark/>
          </w:tcPr>
          <w:p w:rsidR="007D6AE2" w:rsidRPr="001A1D51" w:rsidRDefault="007D6AE2"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0"/>
              </w:rPr>
            </w:pPr>
            <w:r w:rsidRPr="001A1D51">
              <w:rPr>
                <w:rFonts w:ascii="Calibri" w:hAnsi="Calibri" w:cs="Calibri"/>
                <w:b w:val="0"/>
                <w:color w:val="000000"/>
                <w:sz w:val="22"/>
                <w:szCs w:val="20"/>
              </w:rPr>
              <w:t>Total</w:t>
            </w:r>
          </w:p>
        </w:tc>
      </w:tr>
      <w:tr w:rsidR="007D6AE2" w:rsidRPr="001A1D51" w:rsidTr="001A1D5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09" w:type="dxa"/>
            <w:noWrap/>
            <w:hideMark/>
          </w:tcPr>
          <w:p w:rsidR="007D6AE2" w:rsidRPr="001A1D51" w:rsidRDefault="007D6AE2" w:rsidP="001A1D51">
            <w:pPr>
              <w:rPr>
                <w:rFonts w:ascii="Calibri" w:hAnsi="Calibri" w:cs="Calibri"/>
                <w:b w:val="0"/>
                <w:color w:val="000000"/>
                <w:sz w:val="22"/>
                <w:szCs w:val="20"/>
              </w:rPr>
            </w:pPr>
            <w:r w:rsidRPr="001A1D51">
              <w:rPr>
                <w:rFonts w:ascii="Calibri" w:hAnsi="Calibri" w:cs="Calibri"/>
                <w:b w:val="0"/>
                <w:color w:val="000000"/>
                <w:sz w:val="22"/>
                <w:szCs w:val="20"/>
              </w:rPr>
              <w:t>Réalisé 2014</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r>
      <w:tr w:rsidR="007D6AE2" w:rsidRPr="001A1D51" w:rsidTr="001A1D51">
        <w:trPr>
          <w:trHeight w:val="225"/>
        </w:trPr>
        <w:tc>
          <w:tcPr>
            <w:cnfStyle w:val="001000000000" w:firstRow="0" w:lastRow="0" w:firstColumn="1" w:lastColumn="0" w:oddVBand="0" w:evenVBand="0" w:oddHBand="0" w:evenHBand="0" w:firstRowFirstColumn="0" w:firstRowLastColumn="0" w:lastRowFirstColumn="0" w:lastRowLastColumn="0"/>
            <w:tcW w:w="1809" w:type="dxa"/>
            <w:noWrap/>
            <w:hideMark/>
          </w:tcPr>
          <w:p w:rsidR="007D6AE2" w:rsidRPr="001A1D51" w:rsidRDefault="007D6AE2" w:rsidP="001A1D51">
            <w:pPr>
              <w:rPr>
                <w:rFonts w:ascii="Calibri" w:hAnsi="Calibri" w:cs="Calibri"/>
                <w:b w:val="0"/>
                <w:color w:val="000000"/>
                <w:sz w:val="22"/>
                <w:szCs w:val="20"/>
              </w:rPr>
            </w:pPr>
            <w:r w:rsidRPr="001A1D51">
              <w:rPr>
                <w:rFonts w:ascii="Calibri" w:hAnsi="Calibri" w:cs="Calibri"/>
                <w:b w:val="0"/>
                <w:color w:val="000000"/>
                <w:sz w:val="22"/>
                <w:szCs w:val="20"/>
              </w:rPr>
              <w:t>Prévisionnel 2015</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5%</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0%</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1%</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4%</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2%</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3%</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3%</w:t>
            </w:r>
          </w:p>
        </w:tc>
        <w:tc>
          <w:tcPr>
            <w:tcW w:w="1080" w:type="dxa"/>
            <w:noWrap/>
          </w:tcPr>
          <w:p w:rsidR="007D6AE2" w:rsidRPr="001A1D51" w:rsidRDefault="007D6AE2"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0"/>
              </w:rPr>
            </w:pPr>
            <w:r w:rsidRPr="001A1D51">
              <w:rPr>
                <w:rFonts w:ascii="Calibri" w:hAnsi="Calibri" w:cs="Calibri"/>
                <w:color w:val="000000"/>
                <w:sz w:val="22"/>
                <w:szCs w:val="20"/>
              </w:rPr>
              <w:t>2%</w:t>
            </w:r>
          </w:p>
        </w:tc>
      </w:tr>
    </w:tbl>
    <w:p w:rsidR="007D6AE2" w:rsidRDefault="007D6AE2" w:rsidP="002B1371">
      <w:pPr>
        <w:jc w:val="both"/>
        <w:rPr>
          <w:rFonts w:ascii="Calibri" w:hAnsi="Calibri" w:cs="Calibri"/>
        </w:rPr>
      </w:pPr>
    </w:p>
    <w:p w:rsidR="00621C7C" w:rsidRDefault="00B47EE9" w:rsidP="00B47EE9">
      <w:pPr>
        <w:jc w:val="both"/>
        <w:rPr>
          <w:rFonts w:ascii="Calibri" w:hAnsi="Calibri" w:cs="Calibri"/>
        </w:rPr>
      </w:pPr>
      <w:r w:rsidRPr="00B47EE9">
        <w:rPr>
          <w:rFonts w:ascii="Calibri" w:hAnsi="Calibri" w:cs="Calibri"/>
        </w:rPr>
        <w:t>L</w:t>
      </w:r>
      <w:r w:rsidR="00D04880" w:rsidRPr="00B47EE9">
        <w:rPr>
          <w:rFonts w:ascii="Calibri" w:hAnsi="Calibri" w:cs="Calibri"/>
        </w:rPr>
        <w:t xml:space="preserve">e portage salarial permet à un travailleur indépendant d’obtenir un statut de salarié et de recevoir une rémunération d'une société dite « de portage salarial » pour des </w:t>
      </w:r>
      <w:r w:rsidR="00621C7C">
        <w:rPr>
          <w:rFonts w:ascii="Calibri" w:hAnsi="Calibri" w:cs="Calibri"/>
        </w:rPr>
        <w:t>services</w:t>
      </w:r>
      <w:r w:rsidR="00D04880" w:rsidRPr="00B47EE9">
        <w:rPr>
          <w:rFonts w:ascii="Calibri" w:hAnsi="Calibri" w:cs="Calibri"/>
        </w:rPr>
        <w:t xml:space="preserve"> qu'il va effectuer </w:t>
      </w:r>
      <w:r w:rsidRPr="00B47EE9">
        <w:rPr>
          <w:rFonts w:ascii="Calibri" w:hAnsi="Calibri" w:cs="Calibri"/>
        </w:rPr>
        <w:t>auprès d’entreprises clientes</w:t>
      </w:r>
      <w:r w:rsidR="00621C7C">
        <w:rPr>
          <w:rFonts w:ascii="Calibri" w:hAnsi="Calibri" w:cs="Calibri"/>
        </w:rPr>
        <w:t>, dans le cadre d’un</w:t>
      </w:r>
      <w:r w:rsidR="00621C7C" w:rsidRPr="00B47EE9">
        <w:rPr>
          <w:rFonts w:ascii="Calibri" w:hAnsi="Calibri" w:cs="Calibri"/>
        </w:rPr>
        <w:t xml:space="preserve"> contrat de prestation de services</w:t>
      </w:r>
      <w:r w:rsidR="00D04880" w:rsidRPr="00B47EE9">
        <w:rPr>
          <w:rFonts w:ascii="Calibri" w:hAnsi="Calibri" w:cs="Calibri"/>
        </w:rPr>
        <w:t xml:space="preserve">. </w:t>
      </w:r>
      <w:r w:rsidRPr="00B47EE9">
        <w:rPr>
          <w:rFonts w:ascii="Calibri" w:hAnsi="Calibri" w:cs="Calibri"/>
        </w:rPr>
        <w:t xml:space="preserve">La personne </w:t>
      </w:r>
      <w:r>
        <w:rPr>
          <w:rFonts w:ascii="Calibri" w:hAnsi="Calibri" w:cs="Calibri"/>
        </w:rPr>
        <w:t>« </w:t>
      </w:r>
      <w:r w:rsidRPr="00B47EE9">
        <w:rPr>
          <w:rFonts w:ascii="Calibri" w:hAnsi="Calibri" w:cs="Calibri"/>
        </w:rPr>
        <w:t>portée</w:t>
      </w:r>
      <w:r>
        <w:rPr>
          <w:rFonts w:ascii="Calibri" w:hAnsi="Calibri" w:cs="Calibri"/>
        </w:rPr>
        <w:t> »</w:t>
      </w:r>
      <w:r w:rsidRPr="00B47EE9">
        <w:rPr>
          <w:rFonts w:ascii="Calibri" w:hAnsi="Calibri" w:cs="Calibri"/>
        </w:rPr>
        <w:t xml:space="preserve"> n’est pas lié</w:t>
      </w:r>
      <w:r>
        <w:rPr>
          <w:rFonts w:ascii="Calibri" w:hAnsi="Calibri" w:cs="Calibri"/>
        </w:rPr>
        <w:t>e</w:t>
      </w:r>
      <w:r w:rsidRPr="00B47EE9">
        <w:rPr>
          <w:rFonts w:ascii="Calibri" w:hAnsi="Calibri" w:cs="Calibri"/>
        </w:rPr>
        <w:t xml:space="preserve"> par un lien de subordination </w:t>
      </w:r>
      <w:r>
        <w:rPr>
          <w:rFonts w:ascii="Calibri" w:hAnsi="Calibri" w:cs="Calibri"/>
        </w:rPr>
        <w:t>avec</w:t>
      </w:r>
      <w:r w:rsidRPr="00B47EE9">
        <w:rPr>
          <w:rFonts w:ascii="Calibri" w:hAnsi="Calibri" w:cs="Calibri"/>
        </w:rPr>
        <w:t xml:space="preserve"> l’entreprise cliente</w:t>
      </w:r>
      <w:r>
        <w:rPr>
          <w:rFonts w:ascii="Calibri" w:hAnsi="Calibri" w:cs="Calibri"/>
        </w:rPr>
        <w:t xml:space="preserve"> et elle</w:t>
      </w:r>
      <w:r w:rsidRPr="00B47EE9">
        <w:rPr>
          <w:rFonts w:ascii="Calibri" w:hAnsi="Calibri" w:cs="Calibri"/>
        </w:rPr>
        <w:t xml:space="preserve"> négocie librement ses honoraires avec l’entreprise cliente sans qu’intervienne la société de portage</w:t>
      </w:r>
      <w:r>
        <w:rPr>
          <w:rFonts w:ascii="Calibri" w:hAnsi="Calibri" w:cs="Calibri"/>
        </w:rPr>
        <w:t xml:space="preserve">. </w:t>
      </w:r>
    </w:p>
    <w:p w:rsidR="00621C7C" w:rsidRDefault="00621C7C" w:rsidP="00B47EE9">
      <w:pPr>
        <w:jc w:val="both"/>
        <w:rPr>
          <w:rFonts w:ascii="Calibri" w:hAnsi="Calibri" w:cs="Calibri"/>
        </w:rPr>
      </w:pPr>
    </w:p>
    <w:p w:rsidR="003D6DC4" w:rsidRPr="002436B1" w:rsidRDefault="00621C7C" w:rsidP="002B1371">
      <w:pPr>
        <w:jc w:val="both"/>
        <w:rPr>
          <w:rFonts w:ascii="Calibri" w:hAnsi="Calibri" w:cs="Calibri"/>
        </w:rPr>
      </w:pPr>
      <w:r>
        <w:rPr>
          <w:rFonts w:ascii="Calibri" w:hAnsi="Calibri" w:cs="Calibri"/>
        </w:rPr>
        <w:t xml:space="preserve">Ce type de contrat, généralement proposé pour des consultants, est </w:t>
      </w:r>
      <w:r w:rsidR="00857432">
        <w:rPr>
          <w:rFonts w:ascii="Calibri" w:hAnsi="Calibri" w:cs="Calibri"/>
        </w:rPr>
        <w:t>peu ou pas du tout</w:t>
      </w:r>
      <w:r>
        <w:rPr>
          <w:rFonts w:ascii="Calibri" w:hAnsi="Calibri" w:cs="Calibri"/>
        </w:rPr>
        <w:t xml:space="preserve"> utilisé pour des emplois logistiques. </w:t>
      </w:r>
    </w:p>
    <w:p w:rsidR="008E405B" w:rsidRDefault="008E405B">
      <w:pPr>
        <w:rPr>
          <w:rFonts w:ascii="Calibri" w:hAnsi="Calibri" w:cs="Calibri"/>
          <w:b/>
          <w:color w:val="984806" w:themeColor="accent6" w:themeShade="80"/>
          <w:sz w:val="32"/>
          <w:szCs w:val="32"/>
        </w:rPr>
      </w:pPr>
      <w:r>
        <w:rPr>
          <w:rFonts w:ascii="Calibri" w:hAnsi="Calibri" w:cs="Calibri"/>
          <w:b/>
          <w:color w:val="984806" w:themeColor="accent6" w:themeShade="80"/>
          <w:sz w:val="32"/>
          <w:szCs w:val="32"/>
        </w:rPr>
        <w:br w:type="page"/>
      </w:r>
    </w:p>
    <w:p w:rsidR="002B1371" w:rsidRPr="005455E9" w:rsidRDefault="009F222A" w:rsidP="002B1371">
      <w:pPr>
        <w:numPr>
          <w:ilvl w:val="1"/>
          <w:numId w:val="8"/>
        </w:numPr>
        <w:jc w:val="both"/>
        <w:rPr>
          <w:rFonts w:ascii="Calibri" w:hAnsi="Calibri" w:cs="Calibri"/>
          <w:b/>
          <w:color w:val="984806" w:themeColor="accent6" w:themeShade="80"/>
          <w:sz w:val="32"/>
          <w:szCs w:val="32"/>
        </w:rPr>
      </w:pPr>
      <w:r>
        <w:rPr>
          <w:rFonts w:ascii="Calibri" w:hAnsi="Calibri" w:cs="Calibri"/>
          <w:b/>
          <w:color w:val="984806" w:themeColor="accent6" w:themeShade="80"/>
          <w:sz w:val="32"/>
          <w:szCs w:val="32"/>
        </w:rPr>
        <w:t>Prévention des risques professionnels</w:t>
      </w:r>
    </w:p>
    <w:p w:rsidR="0004094C" w:rsidRDefault="0004094C" w:rsidP="002B1371">
      <w:pPr>
        <w:rPr>
          <w:rFonts w:ascii="Calibri" w:hAnsi="Calibri" w:cs="Calibri"/>
          <w:sz w:val="16"/>
          <w:szCs w:val="16"/>
        </w:rPr>
      </w:pPr>
    </w:p>
    <w:p w:rsidR="007E6612" w:rsidRDefault="007E6612" w:rsidP="007E6612">
      <w:pPr>
        <w:rPr>
          <w:rFonts w:ascii="Arial Black" w:hAnsi="Arial Black" w:cs="Calibri"/>
          <w:b/>
          <w:bCs/>
          <w:color w:val="632423"/>
        </w:rPr>
      </w:pPr>
    </w:p>
    <w:p w:rsidR="007E6612" w:rsidRPr="00CC4CCD" w:rsidRDefault="007E6612" w:rsidP="007E6612">
      <w:pPr>
        <w:rPr>
          <w:rFonts w:ascii="Arial Black" w:hAnsi="Arial Black" w:cs="Calibri"/>
          <w:b/>
          <w:bCs/>
          <w:color w:val="632423"/>
        </w:rPr>
      </w:pPr>
      <w:r>
        <w:rPr>
          <w:rFonts w:ascii="Arial Black" w:hAnsi="Arial Black" w:cs="Calibri"/>
          <w:b/>
          <w:bCs/>
          <w:color w:val="632423"/>
        </w:rPr>
        <w:t xml:space="preserve">Les réorganisations du travail expliquent </w:t>
      </w:r>
      <w:r w:rsidR="00DA4BF6">
        <w:rPr>
          <w:rFonts w:ascii="Arial Black" w:hAnsi="Arial Black" w:cs="Calibri"/>
          <w:b/>
          <w:bCs/>
          <w:color w:val="632423"/>
        </w:rPr>
        <w:t>plus d’un reclassement sur quatre</w:t>
      </w:r>
      <w:r w:rsidR="00117D4F">
        <w:rPr>
          <w:rFonts w:ascii="Arial Black" w:hAnsi="Arial Black" w:cs="Calibri"/>
          <w:b/>
          <w:bCs/>
          <w:color w:val="632423"/>
        </w:rPr>
        <w:t xml:space="preserve"> (hors reclassements pour licenciements économiques)</w:t>
      </w:r>
    </w:p>
    <w:p w:rsidR="007E6612" w:rsidRPr="00E83C82" w:rsidRDefault="007E6612" w:rsidP="002B1371">
      <w:pPr>
        <w:rPr>
          <w:rFonts w:ascii="Calibri" w:hAnsi="Calibri" w:cs="Calibri"/>
          <w:sz w:val="16"/>
          <w:szCs w:val="16"/>
        </w:rPr>
      </w:pPr>
    </w:p>
    <w:p w:rsidR="002B1371" w:rsidRPr="00E83C82" w:rsidRDefault="002B1371" w:rsidP="002B1371">
      <w:pPr>
        <w:jc w:val="center"/>
        <w:rPr>
          <w:rFonts w:ascii="Calibri" w:hAnsi="Calibri" w:cs="Calibri"/>
          <w:b/>
          <w:bCs/>
          <w:sz w:val="16"/>
          <w:szCs w:val="16"/>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ayant été amenés à effectuer des reclassements professionnels parmi le personnel logistique en 201</w:t>
      </w:r>
      <w:r w:rsidR="006C25CA">
        <w:rPr>
          <w:rFonts w:ascii="Calibri" w:hAnsi="Calibri" w:cs="Calibri"/>
          <w:b/>
          <w:bCs/>
        </w:rPr>
        <w:t>4</w:t>
      </w:r>
      <w:r w:rsidRPr="002436B1">
        <w:rPr>
          <w:rFonts w:ascii="Calibri" w:hAnsi="Calibri" w:cs="Calibri"/>
          <w:b/>
          <w:bCs/>
        </w:rPr>
        <w:t xml:space="preserve"> </w:t>
      </w:r>
    </w:p>
    <w:p w:rsidR="002B1371" w:rsidRPr="00E83C82" w:rsidRDefault="002B1371" w:rsidP="002B1371">
      <w:pPr>
        <w:rPr>
          <w:rFonts w:ascii="Calibri" w:hAnsi="Calibri" w:cs="Calibri"/>
          <w:sz w:val="16"/>
          <w:szCs w:val="16"/>
        </w:rPr>
      </w:pPr>
    </w:p>
    <w:p w:rsidR="002B1371" w:rsidRPr="002436B1" w:rsidRDefault="002B1371" w:rsidP="002B1371">
      <w:pPr>
        <w:rPr>
          <w:rFonts w:ascii="Calibri" w:hAnsi="Calibri" w:cs="Calibri"/>
          <w:i/>
          <w:iCs/>
        </w:rPr>
      </w:pPr>
      <w:r w:rsidRPr="002436B1">
        <w:rPr>
          <w:rFonts w:ascii="Calibri" w:hAnsi="Calibri" w:cs="Calibri"/>
          <w:i/>
          <w:iCs/>
        </w:rPr>
        <w:t xml:space="preserve">  Etablissements de 100 salariés et plus </w:t>
      </w:r>
      <w:r w:rsidRPr="002436B1">
        <w:rPr>
          <w:rFonts w:ascii="Calibri" w:hAnsi="Calibri" w:cs="Calibri"/>
          <w:i/>
          <w:iCs/>
        </w:rPr>
        <w:tab/>
      </w:r>
      <w:r w:rsidR="00E83C82">
        <w:rPr>
          <w:rFonts w:ascii="Calibri" w:hAnsi="Calibri" w:cs="Calibri"/>
          <w:i/>
          <w:iCs/>
        </w:rPr>
        <w:t xml:space="preserve">                                                                    </w:t>
      </w:r>
      <w:r w:rsidRPr="002436B1">
        <w:rPr>
          <w:rFonts w:ascii="Calibri" w:hAnsi="Calibri" w:cs="Calibri"/>
          <w:i/>
          <w:iCs/>
        </w:rPr>
        <w:t>Etablissements de 50 à 99 salariés</w:t>
      </w:r>
    </w:p>
    <w:p w:rsidR="0045156E" w:rsidRDefault="00AD6615" w:rsidP="002B1371">
      <w:pPr>
        <w:rPr>
          <w:rFonts w:ascii="Calibri" w:hAnsi="Calibri" w:cs="Calibri"/>
        </w:rPr>
      </w:pPr>
      <w:r w:rsidRPr="00EF41C6">
        <w:rPr>
          <w:rFonts w:ascii="Calibri" w:hAnsi="Calibri" w:cs="Calibri"/>
          <w:noProof/>
          <w:sz w:val="28"/>
        </w:rPr>
        <w:drawing>
          <wp:inline distT="0" distB="0" distL="0" distR="0" wp14:anchorId="248857B7" wp14:editId="1D99C7D9">
            <wp:extent cx="3925019" cy="974785"/>
            <wp:effectExtent l="0" t="0" r="18415" b="15875"/>
            <wp:docPr id="44" name="Obje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45156E">
        <w:rPr>
          <w:rFonts w:ascii="Calibri" w:hAnsi="Calibri" w:cs="Calibri"/>
        </w:rPr>
        <w:t xml:space="preserve">     </w:t>
      </w:r>
      <w:r w:rsidR="00E83C82">
        <w:rPr>
          <w:rFonts w:ascii="Calibri" w:hAnsi="Calibri" w:cs="Calibri"/>
        </w:rPr>
        <w:t xml:space="preserve">                            </w:t>
      </w:r>
      <w:r w:rsidR="00E83C82">
        <w:rPr>
          <w:rFonts w:ascii="Calibri" w:hAnsi="Calibri" w:cs="Calibri"/>
          <w:noProof/>
        </w:rPr>
        <w:drawing>
          <wp:inline distT="0" distB="0" distL="0" distR="0" wp14:anchorId="2F94846F" wp14:editId="6FA95D6E">
            <wp:extent cx="1647645" cy="1086928"/>
            <wp:effectExtent l="0" t="0" r="10160" b="18415"/>
            <wp:docPr id="86" name="Obje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B1371" w:rsidRPr="00E83C82" w:rsidRDefault="002B1371" w:rsidP="002B1371">
      <w:pPr>
        <w:jc w:val="both"/>
        <w:rPr>
          <w:rFonts w:ascii="Calibri" w:hAnsi="Calibri" w:cs="Calibri"/>
          <w:sz w:val="16"/>
          <w:szCs w:val="16"/>
        </w:rPr>
      </w:pPr>
    </w:p>
    <w:p w:rsidR="002B1371" w:rsidRDefault="006C25CA" w:rsidP="002B1371">
      <w:pPr>
        <w:jc w:val="both"/>
        <w:rPr>
          <w:rFonts w:ascii="Calibri" w:hAnsi="Calibri" w:cs="Calibri"/>
        </w:rPr>
      </w:pPr>
      <w:r>
        <w:rPr>
          <w:rFonts w:ascii="Calibri" w:hAnsi="Calibri" w:cs="Calibri"/>
        </w:rPr>
        <w:t xml:space="preserve">9% des établissements de 100 salariés et plus interrogés </w:t>
      </w:r>
      <w:r w:rsidR="00474878">
        <w:rPr>
          <w:rFonts w:ascii="Calibri" w:hAnsi="Calibri" w:cs="Calibri"/>
        </w:rPr>
        <w:t>déclarent avoir procédé</w:t>
      </w:r>
      <w:r>
        <w:rPr>
          <w:rFonts w:ascii="Calibri" w:hAnsi="Calibri" w:cs="Calibri"/>
        </w:rPr>
        <w:t xml:space="preserve"> en 2014 à d</w:t>
      </w:r>
      <w:r w:rsidRPr="002436B1">
        <w:rPr>
          <w:rFonts w:ascii="Calibri" w:hAnsi="Calibri" w:cs="Calibri"/>
        </w:rPr>
        <w:t xml:space="preserve">es reclassements </w:t>
      </w:r>
      <w:r w:rsidR="002B1371" w:rsidRPr="002436B1">
        <w:rPr>
          <w:rFonts w:ascii="Calibri" w:hAnsi="Calibri" w:cs="Calibri"/>
        </w:rPr>
        <w:t>professionnels</w:t>
      </w:r>
      <w:r w:rsidR="005859D4">
        <w:rPr>
          <w:rFonts w:ascii="Calibri" w:hAnsi="Calibri" w:cs="Calibri"/>
        </w:rPr>
        <w:t xml:space="preserve"> pour du personnel logistique</w:t>
      </w:r>
      <w:r w:rsidR="00300F88">
        <w:rPr>
          <w:rFonts w:ascii="Calibri" w:hAnsi="Calibri" w:cs="Calibri"/>
        </w:rPr>
        <w:t xml:space="preserve">, hors </w:t>
      </w:r>
      <w:r w:rsidR="00300F88" w:rsidRPr="00300F88">
        <w:rPr>
          <w:rFonts w:ascii="Calibri" w:hAnsi="Calibri" w:cs="Calibri"/>
        </w:rPr>
        <w:t>reclassement des salariés licenciés pour motif économique</w:t>
      </w:r>
      <w:r w:rsidR="00300F88">
        <w:rPr>
          <w:rFonts w:ascii="Calibri" w:hAnsi="Calibri" w:cs="Calibri"/>
        </w:rPr>
        <w:t xml:space="preserve"> </w:t>
      </w:r>
      <w:r>
        <w:rPr>
          <w:rFonts w:ascii="Calibri" w:hAnsi="Calibri" w:cs="Calibri"/>
        </w:rPr>
        <w:t xml:space="preserve">(ils étaient 6% en 2013 et 10% en 2012). </w:t>
      </w:r>
    </w:p>
    <w:p w:rsidR="00CF3CE5" w:rsidRDefault="00CF3CE5" w:rsidP="00CF3CE5">
      <w:pPr>
        <w:jc w:val="both"/>
        <w:rPr>
          <w:rFonts w:ascii="Calibri" w:hAnsi="Calibri" w:cs="Calibri"/>
        </w:rPr>
      </w:pPr>
    </w:p>
    <w:p w:rsidR="00CF3CE5" w:rsidRDefault="00CF3CE5" w:rsidP="00CF3CE5">
      <w:pPr>
        <w:jc w:val="both"/>
        <w:rPr>
          <w:rFonts w:ascii="Calibri" w:hAnsi="Calibri" w:cs="Calibri"/>
        </w:rPr>
      </w:pPr>
      <w:r>
        <w:rPr>
          <w:rFonts w:ascii="Calibri" w:hAnsi="Calibri" w:cs="Calibri"/>
        </w:rPr>
        <w:t xml:space="preserve">Ces reclassements ont par exemple consisté à proposer à des préparateurs de commandes des postes administratifs, de saisie, de contrôle, ou sans port de charge.  </w:t>
      </w:r>
    </w:p>
    <w:p w:rsidR="00131B4E" w:rsidRDefault="00131B4E" w:rsidP="002B1371">
      <w:pPr>
        <w:jc w:val="both"/>
        <w:rPr>
          <w:rFonts w:ascii="Calibri" w:hAnsi="Calibri" w:cs="Calibri"/>
        </w:rPr>
      </w:pPr>
    </w:p>
    <w:p w:rsidR="00CF3CE5" w:rsidRPr="002436B1" w:rsidRDefault="00CF3CE5" w:rsidP="00CF3CE5">
      <w:pPr>
        <w:jc w:val="center"/>
        <w:rPr>
          <w:rFonts w:ascii="Calibri" w:hAnsi="Calibri" w:cs="Calibri"/>
          <w:b/>
          <w:bCs/>
        </w:rPr>
      </w:pPr>
      <w:r>
        <w:rPr>
          <w:rFonts w:ascii="Calibri" w:hAnsi="Calibri" w:cs="Calibri"/>
          <w:b/>
          <w:bCs/>
        </w:rPr>
        <w:t>Causes des reclassements professionnels (en p</w:t>
      </w:r>
      <w:r w:rsidRPr="002436B1">
        <w:rPr>
          <w:rFonts w:ascii="Calibri" w:hAnsi="Calibri" w:cs="Calibri"/>
          <w:b/>
          <w:bCs/>
        </w:rPr>
        <w:t>ourcentage d’établissements ayant été amené</w:t>
      </w:r>
      <w:r>
        <w:rPr>
          <w:rFonts w:ascii="Calibri" w:hAnsi="Calibri" w:cs="Calibri"/>
          <w:b/>
          <w:bCs/>
        </w:rPr>
        <w:t>s à effectuer des reclassements)</w:t>
      </w:r>
    </w:p>
    <w:tbl>
      <w:tblPr>
        <w:tblStyle w:val="Trameclaire-Accent2"/>
        <w:tblW w:w="0" w:type="auto"/>
        <w:tblLook w:val="04A0" w:firstRow="1" w:lastRow="0" w:firstColumn="1" w:lastColumn="0" w:noHBand="0" w:noVBand="1"/>
      </w:tblPr>
      <w:tblGrid>
        <w:gridCol w:w="5862"/>
        <w:gridCol w:w="1023"/>
        <w:gridCol w:w="1023"/>
      </w:tblGrid>
      <w:tr w:rsidR="001A1D51" w:rsidRPr="001A1D51" w:rsidTr="001A1D5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62" w:type="dxa"/>
            <w:noWrap/>
          </w:tcPr>
          <w:p w:rsidR="00300F88" w:rsidRPr="001A1D51" w:rsidRDefault="00300F88" w:rsidP="00474878">
            <w:pPr>
              <w:jc w:val="both"/>
              <w:rPr>
                <w:rFonts w:ascii="Calibri" w:hAnsi="Calibri" w:cs="Calibri"/>
                <w:b w:val="0"/>
                <w:color w:val="auto"/>
                <w:sz w:val="22"/>
                <w:szCs w:val="20"/>
              </w:rPr>
            </w:pPr>
          </w:p>
        </w:tc>
        <w:tc>
          <w:tcPr>
            <w:tcW w:w="1023" w:type="dxa"/>
            <w:vAlign w:val="center"/>
          </w:tcPr>
          <w:p w:rsidR="00300F88" w:rsidRPr="001A1D51" w:rsidRDefault="00300F88"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0"/>
              </w:rPr>
            </w:pPr>
            <w:r w:rsidRPr="001A1D51">
              <w:rPr>
                <w:rFonts w:ascii="Calibri" w:hAnsi="Calibri" w:cs="Calibri"/>
                <w:b w:val="0"/>
                <w:color w:val="auto"/>
                <w:sz w:val="22"/>
                <w:szCs w:val="20"/>
              </w:rPr>
              <w:t>2013</w:t>
            </w:r>
          </w:p>
        </w:tc>
        <w:tc>
          <w:tcPr>
            <w:tcW w:w="1023" w:type="dxa"/>
            <w:noWrap/>
            <w:vAlign w:val="center"/>
          </w:tcPr>
          <w:p w:rsidR="00300F88" w:rsidRPr="001A1D51" w:rsidRDefault="00300F88"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0"/>
              </w:rPr>
            </w:pPr>
            <w:r w:rsidRPr="001A1D51">
              <w:rPr>
                <w:rFonts w:ascii="Calibri" w:hAnsi="Calibri" w:cs="Calibri"/>
                <w:b w:val="0"/>
                <w:color w:val="auto"/>
                <w:sz w:val="22"/>
                <w:szCs w:val="20"/>
              </w:rPr>
              <w:t>2014</w:t>
            </w:r>
          </w:p>
        </w:tc>
      </w:tr>
      <w:tr w:rsidR="001A1D51" w:rsidRPr="001A1D51" w:rsidTr="001A1D5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62" w:type="dxa"/>
            <w:noWrap/>
            <w:hideMark/>
          </w:tcPr>
          <w:p w:rsidR="00DA4BF6" w:rsidRPr="001A1D51" w:rsidRDefault="00DA4BF6" w:rsidP="00474878">
            <w:pPr>
              <w:jc w:val="both"/>
              <w:rPr>
                <w:rFonts w:ascii="Calibri" w:hAnsi="Calibri" w:cs="Calibri"/>
                <w:b w:val="0"/>
                <w:color w:val="auto"/>
                <w:sz w:val="22"/>
                <w:szCs w:val="20"/>
              </w:rPr>
            </w:pPr>
            <w:r w:rsidRPr="001A1D51">
              <w:rPr>
                <w:rFonts w:ascii="Calibri" w:hAnsi="Calibri" w:cs="Calibri"/>
                <w:b w:val="0"/>
                <w:color w:val="auto"/>
                <w:sz w:val="22"/>
                <w:szCs w:val="20"/>
              </w:rPr>
              <w:t xml:space="preserve">Inaptitude reconnue par la médecine du travail </w:t>
            </w:r>
          </w:p>
        </w:tc>
        <w:tc>
          <w:tcPr>
            <w:tcW w:w="1023" w:type="dxa"/>
            <w:vAlign w:val="center"/>
          </w:tcPr>
          <w:p w:rsidR="00DA4BF6" w:rsidRPr="001A1D51" w:rsidRDefault="00DA4BF6"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41%</w:t>
            </w:r>
          </w:p>
        </w:tc>
        <w:tc>
          <w:tcPr>
            <w:tcW w:w="1023" w:type="dxa"/>
            <w:noWrap/>
            <w:vAlign w:val="center"/>
            <w:hideMark/>
          </w:tcPr>
          <w:p w:rsidR="00DA4BF6" w:rsidRPr="001A1D51" w:rsidRDefault="00DA4BF6"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47%</w:t>
            </w:r>
          </w:p>
        </w:tc>
      </w:tr>
      <w:tr w:rsidR="001A1D51" w:rsidRPr="001A1D51" w:rsidTr="001A1D51">
        <w:trPr>
          <w:trHeight w:val="225"/>
        </w:trPr>
        <w:tc>
          <w:tcPr>
            <w:cnfStyle w:val="001000000000" w:firstRow="0" w:lastRow="0" w:firstColumn="1" w:lastColumn="0" w:oddVBand="0" w:evenVBand="0" w:oddHBand="0" w:evenHBand="0" w:firstRowFirstColumn="0" w:firstRowLastColumn="0" w:lastRowFirstColumn="0" w:lastRowLastColumn="0"/>
            <w:tcW w:w="5862" w:type="dxa"/>
            <w:noWrap/>
            <w:hideMark/>
          </w:tcPr>
          <w:p w:rsidR="00DA4BF6" w:rsidRPr="001A1D51" w:rsidRDefault="00DA4BF6" w:rsidP="00474878">
            <w:pPr>
              <w:jc w:val="both"/>
              <w:rPr>
                <w:rFonts w:ascii="Calibri" w:hAnsi="Calibri" w:cs="Calibri"/>
                <w:b w:val="0"/>
                <w:color w:val="auto"/>
                <w:sz w:val="22"/>
                <w:szCs w:val="20"/>
              </w:rPr>
            </w:pPr>
            <w:r w:rsidRPr="001A1D51">
              <w:rPr>
                <w:rFonts w:ascii="Calibri" w:hAnsi="Calibri" w:cs="Calibri"/>
                <w:b w:val="0"/>
                <w:color w:val="auto"/>
                <w:sz w:val="22"/>
                <w:szCs w:val="20"/>
              </w:rPr>
              <w:t>Âge des personnes</w:t>
            </w:r>
          </w:p>
        </w:tc>
        <w:tc>
          <w:tcPr>
            <w:tcW w:w="1023" w:type="dxa"/>
            <w:vAlign w:val="center"/>
          </w:tcPr>
          <w:p w:rsidR="00DA4BF6" w:rsidRPr="001A1D51" w:rsidRDefault="00DA4BF6"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2%</w:t>
            </w:r>
          </w:p>
        </w:tc>
        <w:tc>
          <w:tcPr>
            <w:tcW w:w="1023" w:type="dxa"/>
            <w:noWrap/>
            <w:vAlign w:val="center"/>
            <w:hideMark/>
          </w:tcPr>
          <w:p w:rsidR="00DA4BF6" w:rsidRPr="001A1D51" w:rsidRDefault="00DA4BF6"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2%</w:t>
            </w:r>
          </w:p>
        </w:tc>
      </w:tr>
      <w:tr w:rsidR="001A1D51" w:rsidRPr="001A1D51" w:rsidTr="001A1D5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62" w:type="dxa"/>
            <w:noWrap/>
            <w:hideMark/>
          </w:tcPr>
          <w:p w:rsidR="00DA4BF6" w:rsidRPr="001A1D51" w:rsidRDefault="00DA4BF6" w:rsidP="00474878">
            <w:pPr>
              <w:jc w:val="both"/>
              <w:rPr>
                <w:rFonts w:ascii="Calibri" w:hAnsi="Calibri" w:cs="Calibri"/>
                <w:b w:val="0"/>
                <w:color w:val="auto"/>
                <w:sz w:val="22"/>
                <w:szCs w:val="20"/>
              </w:rPr>
            </w:pPr>
            <w:r w:rsidRPr="001A1D51">
              <w:rPr>
                <w:rFonts w:ascii="Calibri" w:hAnsi="Calibri" w:cs="Calibri"/>
                <w:b w:val="0"/>
                <w:color w:val="auto"/>
                <w:sz w:val="22"/>
                <w:szCs w:val="20"/>
              </w:rPr>
              <w:t>Obsolescence des compétences</w:t>
            </w:r>
          </w:p>
        </w:tc>
        <w:tc>
          <w:tcPr>
            <w:tcW w:w="1023" w:type="dxa"/>
            <w:vAlign w:val="center"/>
          </w:tcPr>
          <w:p w:rsidR="00DA4BF6" w:rsidRPr="001A1D51" w:rsidRDefault="00DA4BF6"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3%</w:t>
            </w:r>
          </w:p>
        </w:tc>
        <w:tc>
          <w:tcPr>
            <w:tcW w:w="1023" w:type="dxa"/>
            <w:noWrap/>
            <w:vAlign w:val="center"/>
            <w:hideMark/>
          </w:tcPr>
          <w:p w:rsidR="00DA4BF6" w:rsidRPr="001A1D51" w:rsidRDefault="00DA4BF6"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5%</w:t>
            </w:r>
          </w:p>
        </w:tc>
      </w:tr>
      <w:tr w:rsidR="001A1D51" w:rsidRPr="001A1D51" w:rsidTr="001A1D51">
        <w:trPr>
          <w:trHeight w:val="225"/>
        </w:trPr>
        <w:tc>
          <w:tcPr>
            <w:cnfStyle w:val="001000000000" w:firstRow="0" w:lastRow="0" w:firstColumn="1" w:lastColumn="0" w:oddVBand="0" w:evenVBand="0" w:oddHBand="0" w:evenHBand="0" w:firstRowFirstColumn="0" w:firstRowLastColumn="0" w:lastRowFirstColumn="0" w:lastRowLastColumn="0"/>
            <w:tcW w:w="5862" w:type="dxa"/>
            <w:noWrap/>
            <w:hideMark/>
          </w:tcPr>
          <w:p w:rsidR="00DA4BF6" w:rsidRPr="001A1D51" w:rsidRDefault="00DA4BF6" w:rsidP="00474878">
            <w:pPr>
              <w:jc w:val="both"/>
              <w:rPr>
                <w:rFonts w:ascii="Calibri" w:hAnsi="Calibri" w:cs="Calibri"/>
                <w:b w:val="0"/>
                <w:color w:val="auto"/>
                <w:sz w:val="22"/>
                <w:szCs w:val="20"/>
              </w:rPr>
            </w:pPr>
            <w:r w:rsidRPr="001A1D51">
              <w:rPr>
                <w:rFonts w:ascii="Calibri" w:hAnsi="Calibri" w:cs="Calibri"/>
                <w:b w:val="0"/>
                <w:color w:val="auto"/>
                <w:sz w:val="22"/>
                <w:szCs w:val="20"/>
              </w:rPr>
              <w:t xml:space="preserve">Réorganisation du travail </w:t>
            </w:r>
          </w:p>
        </w:tc>
        <w:tc>
          <w:tcPr>
            <w:tcW w:w="1023" w:type="dxa"/>
            <w:vAlign w:val="center"/>
          </w:tcPr>
          <w:p w:rsidR="00DA4BF6" w:rsidRPr="001A1D51" w:rsidRDefault="00DA4BF6"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12%</w:t>
            </w:r>
          </w:p>
        </w:tc>
        <w:tc>
          <w:tcPr>
            <w:tcW w:w="1023" w:type="dxa"/>
            <w:noWrap/>
            <w:vAlign w:val="center"/>
            <w:hideMark/>
          </w:tcPr>
          <w:p w:rsidR="00DA4BF6" w:rsidRPr="001A1D51" w:rsidRDefault="00DA4BF6" w:rsidP="001A1D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26%</w:t>
            </w:r>
          </w:p>
        </w:tc>
      </w:tr>
      <w:tr w:rsidR="001A1D51" w:rsidRPr="001A1D51" w:rsidTr="001A1D5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62" w:type="dxa"/>
            <w:noWrap/>
            <w:hideMark/>
          </w:tcPr>
          <w:p w:rsidR="00DA4BF6" w:rsidRPr="001A1D51" w:rsidRDefault="00DA4BF6" w:rsidP="00474878">
            <w:pPr>
              <w:jc w:val="both"/>
              <w:rPr>
                <w:rFonts w:ascii="Calibri" w:hAnsi="Calibri" w:cs="Calibri"/>
                <w:b w:val="0"/>
                <w:color w:val="auto"/>
                <w:sz w:val="22"/>
                <w:szCs w:val="20"/>
              </w:rPr>
            </w:pPr>
            <w:r w:rsidRPr="001A1D51">
              <w:rPr>
                <w:rFonts w:ascii="Calibri" w:hAnsi="Calibri" w:cs="Calibri"/>
                <w:b w:val="0"/>
                <w:color w:val="auto"/>
                <w:sz w:val="22"/>
                <w:szCs w:val="20"/>
              </w:rPr>
              <w:t>Autres</w:t>
            </w:r>
          </w:p>
        </w:tc>
        <w:tc>
          <w:tcPr>
            <w:tcW w:w="1023" w:type="dxa"/>
            <w:vAlign w:val="center"/>
          </w:tcPr>
          <w:p w:rsidR="00DA4BF6" w:rsidRPr="001A1D51" w:rsidRDefault="00DA4BF6"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10%</w:t>
            </w:r>
          </w:p>
        </w:tc>
        <w:tc>
          <w:tcPr>
            <w:tcW w:w="1023" w:type="dxa"/>
            <w:noWrap/>
            <w:vAlign w:val="center"/>
            <w:hideMark/>
          </w:tcPr>
          <w:p w:rsidR="00DA4BF6" w:rsidRPr="001A1D51" w:rsidRDefault="00DA4BF6"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0"/>
              </w:rPr>
            </w:pPr>
            <w:r w:rsidRPr="001A1D51">
              <w:rPr>
                <w:rFonts w:ascii="Calibri" w:hAnsi="Calibri" w:cs="Calibri"/>
                <w:color w:val="auto"/>
                <w:sz w:val="22"/>
                <w:szCs w:val="20"/>
              </w:rPr>
              <w:t>6%</w:t>
            </w:r>
          </w:p>
        </w:tc>
      </w:tr>
    </w:tbl>
    <w:p w:rsidR="006C25CA" w:rsidRDefault="006C25CA" w:rsidP="002B1371">
      <w:pPr>
        <w:jc w:val="both"/>
        <w:rPr>
          <w:rFonts w:ascii="Calibri" w:hAnsi="Calibri" w:cs="Calibri"/>
        </w:rPr>
      </w:pPr>
    </w:p>
    <w:p w:rsidR="006C25CA" w:rsidRDefault="00DA4BF6" w:rsidP="002B1371">
      <w:pPr>
        <w:jc w:val="both"/>
        <w:rPr>
          <w:rFonts w:ascii="Calibri" w:hAnsi="Calibri" w:cs="Calibri"/>
        </w:rPr>
      </w:pPr>
      <w:r>
        <w:rPr>
          <w:rFonts w:ascii="Calibri" w:hAnsi="Calibri" w:cs="Calibri"/>
        </w:rPr>
        <w:t>Le plus souvent</w:t>
      </w:r>
      <w:r w:rsidR="00CF3CE5">
        <w:rPr>
          <w:rFonts w:ascii="Calibri" w:hAnsi="Calibri" w:cs="Calibri"/>
        </w:rPr>
        <w:t xml:space="preserve">, </w:t>
      </w:r>
      <w:r w:rsidR="00C83036">
        <w:rPr>
          <w:rFonts w:ascii="Calibri" w:hAnsi="Calibri" w:cs="Calibri"/>
        </w:rPr>
        <w:t>l</w:t>
      </w:r>
      <w:r w:rsidR="00CF3CE5">
        <w:rPr>
          <w:rFonts w:ascii="Calibri" w:hAnsi="Calibri" w:cs="Calibri"/>
        </w:rPr>
        <w:t>es reclassements professionnels font suite à la reconnaissance d’une inaptitude par la médecine du travail</w:t>
      </w:r>
      <w:r>
        <w:rPr>
          <w:rFonts w:ascii="Calibri" w:hAnsi="Calibri" w:cs="Calibri"/>
        </w:rPr>
        <w:t xml:space="preserve"> (47% des établissements</w:t>
      </w:r>
      <w:r w:rsidR="00576ED8">
        <w:rPr>
          <w:rFonts w:ascii="Calibri" w:hAnsi="Calibri" w:cs="Calibri"/>
        </w:rPr>
        <w:t xml:space="preserve"> ayant effectué des reclassements</w:t>
      </w:r>
      <w:r>
        <w:rPr>
          <w:rFonts w:ascii="Calibri" w:hAnsi="Calibri" w:cs="Calibri"/>
        </w:rPr>
        <w:t>)</w:t>
      </w:r>
      <w:r w:rsidR="00CF3CE5">
        <w:rPr>
          <w:rFonts w:ascii="Calibri" w:hAnsi="Calibri" w:cs="Calibri"/>
        </w:rPr>
        <w:t xml:space="preserve">. </w:t>
      </w:r>
    </w:p>
    <w:p w:rsidR="006C25CA" w:rsidRPr="002436B1" w:rsidRDefault="005859D4" w:rsidP="002B1371">
      <w:pPr>
        <w:jc w:val="both"/>
        <w:rPr>
          <w:rFonts w:ascii="Calibri" w:hAnsi="Calibri" w:cs="Calibri"/>
        </w:rPr>
      </w:pPr>
      <w:r>
        <w:rPr>
          <w:rFonts w:ascii="Calibri" w:hAnsi="Calibri" w:cs="Calibri"/>
        </w:rPr>
        <w:t xml:space="preserve">Néanmoins, en 2014, </w:t>
      </w:r>
      <w:r w:rsidR="00DA4BF6">
        <w:rPr>
          <w:rFonts w:ascii="Calibri" w:hAnsi="Calibri" w:cs="Calibri"/>
        </w:rPr>
        <w:t>des</w:t>
      </w:r>
      <w:r>
        <w:rPr>
          <w:rFonts w:ascii="Calibri" w:hAnsi="Calibri" w:cs="Calibri"/>
        </w:rPr>
        <w:t xml:space="preserve"> réorganisation</w:t>
      </w:r>
      <w:r w:rsidR="00DA4BF6">
        <w:rPr>
          <w:rFonts w:ascii="Calibri" w:hAnsi="Calibri" w:cs="Calibri"/>
        </w:rPr>
        <w:t>s</w:t>
      </w:r>
      <w:r>
        <w:rPr>
          <w:rFonts w:ascii="Calibri" w:hAnsi="Calibri" w:cs="Calibri"/>
        </w:rPr>
        <w:t xml:space="preserve"> du travail </w:t>
      </w:r>
      <w:r w:rsidR="00DA4BF6">
        <w:rPr>
          <w:rFonts w:ascii="Calibri" w:hAnsi="Calibri" w:cs="Calibri"/>
        </w:rPr>
        <w:t>sont</w:t>
      </w:r>
      <w:r>
        <w:rPr>
          <w:rFonts w:ascii="Calibri" w:hAnsi="Calibri" w:cs="Calibri"/>
        </w:rPr>
        <w:t xml:space="preserve"> également </w:t>
      </w:r>
      <w:r w:rsidR="00576ED8">
        <w:rPr>
          <w:rFonts w:ascii="Calibri" w:hAnsi="Calibri" w:cs="Calibri"/>
        </w:rPr>
        <w:t>à l’origine</w:t>
      </w:r>
      <w:r>
        <w:rPr>
          <w:rFonts w:ascii="Calibri" w:hAnsi="Calibri" w:cs="Calibri"/>
        </w:rPr>
        <w:t xml:space="preserve"> de</w:t>
      </w:r>
      <w:r w:rsidR="00576ED8">
        <w:rPr>
          <w:rFonts w:ascii="Calibri" w:hAnsi="Calibri" w:cs="Calibri"/>
        </w:rPr>
        <w:t>s</w:t>
      </w:r>
      <w:r>
        <w:rPr>
          <w:rFonts w:ascii="Calibri" w:hAnsi="Calibri" w:cs="Calibri"/>
        </w:rPr>
        <w:t xml:space="preserve"> reclassements du personnel logistique d</w:t>
      </w:r>
      <w:r w:rsidR="00576ED8">
        <w:rPr>
          <w:rFonts w:ascii="Calibri" w:hAnsi="Calibri" w:cs="Calibri"/>
        </w:rPr>
        <w:t>e</w:t>
      </w:r>
      <w:r>
        <w:rPr>
          <w:rFonts w:ascii="Calibri" w:hAnsi="Calibri" w:cs="Calibri"/>
        </w:rPr>
        <w:t xml:space="preserve"> </w:t>
      </w:r>
      <w:r w:rsidR="00DA4BF6">
        <w:rPr>
          <w:rFonts w:ascii="Calibri" w:hAnsi="Calibri" w:cs="Calibri"/>
        </w:rPr>
        <w:t>plus d’un</w:t>
      </w:r>
      <w:r>
        <w:rPr>
          <w:rFonts w:ascii="Calibri" w:hAnsi="Calibri" w:cs="Calibri"/>
        </w:rPr>
        <w:t xml:space="preserve"> établissement sur </w:t>
      </w:r>
      <w:r w:rsidR="00DA4BF6">
        <w:rPr>
          <w:rFonts w:ascii="Calibri" w:hAnsi="Calibri" w:cs="Calibri"/>
        </w:rPr>
        <w:t xml:space="preserve">quatre </w:t>
      </w:r>
      <w:r>
        <w:rPr>
          <w:rFonts w:ascii="Calibri" w:hAnsi="Calibri" w:cs="Calibri"/>
        </w:rPr>
        <w:t>(seulement 1</w:t>
      </w:r>
      <w:r w:rsidR="00DA4BF6">
        <w:rPr>
          <w:rFonts w:ascii="Calibri" w:hAnsi="Calibri" w:cs="Calibri"/>
        </w:rPr>
        <w:t>2</w:t>
      </w:r>
      <w:r>
        <w:rPr>
          <w:rFonts w:ascii="Calibri" w:hAnsi="Calibri" w:cs="Calibri"/>
        </w:rPr>
        <w:t>%</w:t>
      </w:r>
      <w:r w:rsidR="00DA4BF6">
        <w:rPr>
          <w:rFonts w:ascii="Calibri" w:hAnsi="Calibri" w:cs="Calibri"/>
        </w:rPr>
        <w:t xml:space="preserve"> des établissements </w:t>
      </w:r>
      <w:r>
        <w:rPr>
          <w:rFonts w:ascii="Calibri" w:hAnsi="Calibri" w:cs="Calibri"/>
        </w:rPr>
        <w:t>en 2013).</w:t>
      </w:r>
    </w:p>
    <w:p w:rsidR="00300F88" w:rsidRDefault="00300F88">
      <w:pPr>
        <w:rPr>
          <w:rFonts w:ascii="Arial Black" w:hAnsi="Arial Black" w:cs="Calibri"/>
          <w:b/>
          <w:bCs/>
          <w:color w:val="632423"/>
        </w:rPr>
      </w:pPr>
    </w:p>
    <w:p w:rsidR="007E6612" w:rsidRDefault="00087A19">
      <w:pPr>
        <w:rPr>
          <w:rFonts w:ascii="Arial Black" w:hAnsi="Arial Black" w:cs="Calibri"/>
          <w:b/>
          <w:bCs/>
          <w:color w:val="632423"/>
        </w:rPr>
      </w:pPr>
      <w:r>
        <w:rPr>
          <w:rFonts w:ascii="Arial Black" w:hAnsi="Arial Black" w:cs="Calibri"/>
          <w:b/>
          <w:bCs/>
          <w:color w:val="632423"/>
        </w:rPr>
        <w:t>L</w:t>
      </w:r>
      <w:r w:rsidR="007E6612">
        <w:rPr>
          <w:rFonts w:ascii="Arial Black" w:hAnsi="Arial Black" w:cs="Calibri"/>
          <w:b/>
          <w:bCs/>
          <w:color w:val="632423"/>
        </w:rPr>
        <w:t xml:space="preserve">es inaptitudes conduisent </w:t>
      </w:r>
      <w:r>
        <w:rPr>
          <w:rFonts w:ascii="Arial Black" w:hAnsi="Arial Black" w:cs="Calibri"/>
          <w:b/>
          <w:bCs/>
          <w:color w:val="632423"/>
        </w:rPr>
        <w:t>plus fréquemment à des</w:t>
      </w:r>
      <w:r w:rsidR="007E6612">
        <w:rPr>
          <w:rFonts w:ascii="Arial Black" w:hAnsi="Arial Black" w:cs="Calibri"/>
          <w:b/>
          <w:bCs/>
          <w:color w:val="632423"/>
        </w:rPr>
        <w:t xml:space="preserve"> licenciement</w:t>
      </w:r>
      <w:r>
        <w:rPr>
          <w:rFonts w:ascii="Arial Black" w:hAnsi="Arial Black" w:cs="Calibri"/>
          <w:b/>
          <w:bCs/>
          <w:color w:val="632423"/>
        </w:rPr>
        <w:t>s qu’à des reclassements</w:t>
      </w:r>
    </w:p>
    <w:p w:rsidR="007E6612" w:rsidRDefault="007E6612">
      <w:pPr>
        <w:rPr>
          <w:rFonts w:ascii="Arial Black" w:hAnsi="Arial Black" w:cs="Calibri"/>
          <w:b/>
          <w:bCs/>
          <w:color w:val="632423"/>
        </w:rPr>
      </w:pPr>
    </w:p>
    <w:p w:rsidR="00AE6991" w:rsidRDefault="007E6612" w:rsidP="00F03BB6">
      <w:pPr>
        <w:jc w:val="center"/>
        <w:rPr>
          <w:rFonts w:ascii="Calibri" w:hAnsi="Calibri" w:cs="Calibri"/>
          <w:b/>
          <w:bCs/>
        </w:rPr>
      </w:pPr>
      <w:r w:rsidRPr="00F03BB6">
        <w:rPr>
          <w:rFonts w:ascii="Calibri" w:hAnsi="Calibri" w:cs="Calibri"/>
          <w:b/>
          <w:bCs/>
        </w:rPr>
        <w:t>Pourcentage d’établissements ayant dû, en 2014, licencier du personnel logistique pour raison d’inaptitude reconnue par la médecine du travail</w:t>
      </w:r>
    </w:p>
    <w:p w:rsidR="001A7107" w:rsidRPr="00F03BB6" w:rsidRDefault="001A7107" w:rsidP="00F03BB6">
      <w:pPr>
        <w:jc w:val="center"/>
        <w:rPr>
          <w:rFonts w:ascii="Calibri" w:hAnsi="Calibri" w:cs="Calibri"/>
          <w:b/>
          <w:bCs/>
        </w:rPr>
      </w:pPr>
    </w:p>
    <w:tbl>
      <w:tblPr>
        <w:tblStyle w:val="Trameclaire-Accent3"/>
        <w:tblW w:w="11007" w:type="dxa"/>
        <w:tblLayout w:type="fixed"/>
        <w:tblLook w:val="04A0" w:firstRow="1" w:lastRow="0" w:firstColumn="1" w:lastColumn="0" w:noHBand="0" w:noVBand="1"/>
      </w:tblPr>
      <w:tblGrid>
        <w:gridCol w:w="3669"/>
        <w:gridCol w:w="3669"/>
        <w:gridCol w:w="3669"/>
      </w:tblGrid>
      <w:tr w:rsidR="00087A19" w:rsidRPr="001A1D51" w:rsidTr="001A1D5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69" w:type="dxa"/>
            <w:noWrap/>
            <w:vAlign w:val="center"/>
            <w:hideMark/>
          </w:tcPr>
          <w:p w:rsidR="00087A19" w:rsidRPr="001A1D51" w:rsidRDefault="00087A19" w:rsidP="001A1D51">
            <w:pPr>
              <w:jc w:val="center"/>
              <w:rPr>
                <w:rFonts w:ascii="Calibri" w:hAnsi="Calibri" w:cs="Calibri"/>
                <w:b w:val="0"/>
                <w:color w:val="000000"/>
                <w:sz w:val="22"/>
                <w:szCs w:val="22"/>
              </w:rPr>
            </w:pPr>
            <w:r w:rsidRPr="001A1D51">
              <w:rPr>
                <w:rFonts w:ascii="Calibri" w:hAnsi="Calibri" w:cs="Calibri"/>
                <w:b w:val="0"/>
                <w:color w:val="000000"/>
                <w:sz w:val="22"/>
                <w:szCs w:val="22"/>
              </w:rPr>
              <w:t>Etablissements de 50 à 99 salariés</w:t>
            </w:r>
          </w:p>
        </w:tc>
        <w:tc>
          <w:tcPr>
            <w:tcW w:w="3669" w:type="dxa"/>
            <w:vAlign w:val="center"/>
          </w:tcPr>
          <w:p w:rsidR="00087A19" w:rsidRPr="001A1D51" w:rsidRDefault="00087A19"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1A1D51">
              <w:rPr>
                <w:rFonts w:ascii="Calibri" w:hAnsi="Calibri" w:cs="Calibri"/>
                <w:b w:val="0"/>
                <w:color w:val="000000"/>
                <w:sz w:val="22"/>
                <w:szCs w:val="22"/>
              </w:rPr>
              <w:t>Etablissements de 100 salariés et plus</w:t>
            </w:r>
          </w:p>
        </w:tc>
        <w:tc>
          <w:tcPr>
            <w:tcW w:w="3669" w:type="dxa"/>
            <w:vAlign w:val="center"/>
          </w:tcPr>
          <w:p w:rsidR="00087A19" w:rsidRPr="001A1D51" w:rsidRDefault="00087A19"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1A1D51">
              <w:rPr>
                <w:rFonts w:ascii="Calibri" w:hAnsi="Calibri" w:cs="Calibri"/>
                <w:b w:val="0"/>
                <w:color w:val="000000"/>
                <w:sz w:val="22"/>
                <w:szCs w:val="22"/>
              </w:rPr>
              <w:t>Total</w:t>
            </w:r>
          </w:p>
        </w:tc>
      </w:tr>
      <w:tr w:rsidR="00087A19" w:rsidRPr="001A1D51" w:rsidTr="001A1D5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69" w:type="dxa"/>
            <w:noWrap/>
            <w:vAlign w:val="center"/>
            <w:hideMark/>
          </w:tcPr>
          <w:p w:rsidR="00087A19" w:rsidRPr="001A1D51" w:rsidRDefault="00087A19" w:rsidP="001A1D51">
            <w:pPr>
              <w:jc w:val="center"/>
              <w:rPr>
                <w:rFonts w:ascii="Calibri" w:hAnsi="Calibri" w:cs="Calibri"/>
                <w:b w:val="0"/>
                <w:color w:val="000000"/>
                <w:sz w:val="22"/>
                <w:szCs w:val="22"/>
              </w:rPr>
            </w:pPr>
            <w:r w:rsidRPr="001A1D51">
              <w:rPr>
                <w:rFonts w:ascii="Calibri" w:hAnsi="Calibri" w:cs="Calibri"/>
                <w:b w:val="0"/>
                <w:color w:val="000000"/>
                <w:sz w:val="22"/>
                <w:szCs w:val="22"/>
              </w:rPr>
              <w:t>13%</w:t>
            </w:r>
          </w:p>
        </w:tc>
        <w:tc>
          <w:tcPr>
            <w:tcW w:w="3669" w:type="dxa"/>
            <w:vAlign w:val="center"/>
          </w:tcPr>
          <w:p w:rsidR="00087A19" w:rsidRPr="001A1D51" w:rsidRDefault="00087A19"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A1D51">
              <w:rPr>
                <w:rFonts w:ascii="Calibri" w:hAnsi="Calibri" w:cs="Calibri"/>
                <w:color w:val="000000"/>
                <w:sz w:val="22"/>
                <w:szCs w:val="22"/>
              </w:rPr>
              <w:t>12%</w:t>
            </w:r>
          </w:p>
        </w:tc>
        <w:tc>
          <w:tcPr>
            <w:tcW w:w="3669" w:type="dxa"/>
            <w:vAlign w:val="center"/>
          </w:tcPr>
          <w:p w:rsidR="00087A19" w:rsidRPr="001A1D51" w:rsidRDefault="00900C0A"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A1D51">
              <w:rPr>
                <w:rFonts w:ascii="Calibri" w:hAnsi="Calibri" w:cs="Calibri"/>
                <w:color w:val="000000"/>
                <w:sz w:val="22"/>
                <w:szCs w:val="22"/>
              </w:rPr>
              <w:t>13%</w:t>
            </w:r>
          </w:p>
        </w:tc>
      </w:tr>
    </w:tbl>
    <w:p w:rsidR="00AE6991" w:rsidRDefault="00AE6991" w:rsidP="000E691E">
      <w:pPr>
        <w:jc w:val="right"/>
        <w:rPr>
          <w:rFonts w:ascii="Calibri" w:hAnsi="Calibri" w:cs="Calibri"/>
        </w:rPr>
      </w:pPr>
    </w:p>
    <w:p w:rsidR="00087A19" w:rsidRDefault="00087A19" w:rsidP="00F03BB6">
      <w:pPr>
        <w:jc w:val="center"/>
        <w:rPr>
          <w:rFonts w:ascii="Calibri" w:hAnsi="Calibri" w:cs="Calibri"/>
          <w:b/>
          <w:bCs/>
        </w:rPr>
      </w:pPr>
      <w:r w:rsidRPr="00F03BB6">
        <w:rPr>
          <w:rFonts w:ascii="Calibri" w:hAnsi="Calibri" w:cs="Calibri"/>
          <w:b/>
          <w:bCs/>
        </w:rPr>
        <w:t>Pourcentage d’établissements ayant, en 2014, reclass</w:t>
      </w:r>
      <w:r w:rsidR="00EF5213" w:rsidRPr="00F03BB6">
        <w:rPr>
          <w:rFonts w:ascii="Calibri" w:hAnsi="Calibri" w:cs="Calibri"/>
          <w:b/>
          <w:bCs/>
        </w:rPr>
        <w:t>é</w:t>
      </w:r>
      <w:r w:rsidRPr="00F03BB6">
        <w:rPr>
          <w:rFonts w:ascii="Calibri" w:hAnsi="Calibri" w:cs="Calibri"/>
          <w:b/>
          <w:bCs/>
        </w:rPr>
        <w:t xml:space="preserve"> du personnel logistique pour raison d’inaptitude reconnue par la médecine du travail</w:t>
      </w:r>
    </w:p>
    <w:p w:rsidR="001A7107" w:rsidRPr="00F03BB6" w:rsidRDefault="001A7107" w:rsidP="00F03BB6">
      <w:pPr>
        <w:jc w:val="center"/>
        <w:rPr>
          <w:rFonts w:ascii="Calibri" w:hAnsi="Calibri" w:cs="Calibri"/>
          <w:b/>
          <w:bCs/>
        </w:rPr>
      </w:pPr>
    </w:p>
    <w:tbl>
      <w:tblPr>
        <w:tblStyle w:val="Trameclaire-Accent3"/>
        <w:tblW w:w="11023" w:type="dxa"/>
        <w:tblLook w:val="04A0" w:firstRow="1" w:lastRow="0" w:firstColumn="1" w:lastColumn="0" w:noHBand="0" w:noVBand="1"/>
      </w:tblPr>
      <w:tblGrid>
        <w:gridCol w:w="3510"/>
        <w:gridCol w:w="4111"/>
        <w:gridCol w:w="3402"/>
      </w:tblGrid>
      <w:tr w:rsidR="00087A19" w:rsidRPr="001A1D51" w:rsidTr="001A1D5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rsidR="00087A19" w:rsidRPr="001A1D51" w:rsidRDefault="00087A19" w:rsidP="001A1D51">
            <w:pPr>
              <w:jc w:val="center"/>
              <w:rPr>
                <w:rFonts w:ascii="Calibri" w:hAnsi="Calibri" w:cs="Calibri"/>
                <w:b w:val="0"/>
                <w:color w:val="000000"/>
                <w:sz w:val="22"/>
                <w:szCs w:val="22"/>
              </w:rPr>
            </w:pPr>
            <w:r w:rsidRPr="001A1D51">
              <w:rPr>
                <w:rFonts w:ascii="Calibri" w:hAnsi="Calibri" w:cs="Calibri"/>
                <w:b w:val="0"/>
                <w:color w:val="000000"/>
                <w:sz w:val="22"/>
                <w:szCs w:val="22"/>
              </w:rPr>
              <w:t>Etablissements de 50 à 99 salariés</w:t>
            </w:r>
          </w:p>
        </w:tc>
        <w:tc>
          <w:tcPr>
            <w:tcW w:w="4111" w:type="dxa"/>
            <w:vAlign w:val="center"/>
          </w:tcPr>
          <w:p w:rsidR="00087A19" w:rsidRPr="001A1D51" w:rsidRDefault="00087A19"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1A1D51">
              <w:rPr>
                <w:rFonts w:ascii="Calibri" w:hAnsi="Calibri" w:cs="Calibri"/>
                <w:b w:val="0"/>
                <w:color w:val="000000"/>
                <w:sz w:val="22"/>
                <w:szCs w:val="22"/>
              </w:rPr>
              <w:t>Etablissements de 100 salariés et plus</w:t>
            </w:r>
          </w:p>
        </w:tc>
        <w:tc>
          <w:tcPr>
            <w:tcW w:w="3402" w:type="dxa"/>
            <w:vAlign w:val="center"/>
          </w:tcPr>
          <w:p w:rsidR="00087A19" w:rsidRPr="001A1D51" w:rsidRDefault="00087A19"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1A1D51">
              <w:rPr>
                <w:rFonts w:ascii="Calibri" w:hAnsi="Calibri" w:cs="Calibri"/>
                <w:b w:val="0"/>
                <w:color w:val="000000"/>
                <w:sz w:val="22"/>
                <w:szCs w:val="22"/>
              </w:rPr>
              <w:t>Total</w:t>
            </w:r>
          </w:p>
        </w:tc>
      </w:tr>
      <w:tr w:rsidR="00087A19" w:rsidRPr="001A1D51" w:rsidTr="001A1D5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087A19" w:rsidRPr="001A1D51" w:rsidRDefault="00EF5213" w:rsidP="001A1D51">
            <w:pPr>
              <w:jc w:val="center"/>
              <w:rPr>
                <w:rFonts w:ascii="Calibri" w:hAnsi="Calibri" w:cs="Calibri"/>
                <w:b w:val="0"/>
                <w:color w:val="000000"/>
                <w:sz w:val="22"/>
                <w:szCs w:val="22"/>
              </w:rPr>
            </w:pPr>
            <w:r w:rsidRPr="001A1D51">
              <w:rPr>
                <w:rFonts w:ascii="Calibri" w:hAnsi="Calibri" w:cs="Calibri"/>
                <w:b w:val="0"/>
                <w:color w:val="000000"/>
                <w:sz w:val="22"/>
                <w:szCs w:val="22"/>
              </w:rPr>
              <w:t>2%</w:t>
            </w:r>
          </w:p>
        </w:tc>
        <w:tc>
          <w:tcPr>
            <w:tcW w:w="4111" w:type="dxa"/>
            <w:vAlign w:val="center"/>
          </w:tcPr>
          <w:p w:rsidR="00087A19" w:rsidRPr="001A1D51" w:rsidRDefault="00EF5213"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A1D51">
              <w:rPr>
                <w:rFonts w:ascii="Calibri" w:hAnsi="Calibri" w:cs="Calibri"/>
                <w:color w:val="000000"/>
                <w:sz w:val="22"/>
                <w:szCs w:val="22"/>
              </w:rPr>
              <w:t>4%</w:t>
            </w:r>
          </w:p>
        </w:tc>
        <w:tc>
          <w:tcPr>
            <w:tcW w:w="3402" w:type="dxa"/>
            <w:vAlign w:val="center"/>
          </w:tcPr>
          <w:p w:rsidR="00087A19" w:rsidRPr="001A1D51" w:rsidRDefault="00EF5213"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A1D51">
              <w:rPr>
                <w:rFonts w:ascii="Calibri" w:hAnsi="Calibri" w:cs="Calibri"/>
                <w:color w:val="000000"/>
                <w:sz w:val="22"/>
                <w:szCs w:val="22"/>
              </w:rPr>
              <w:t>3%</w:t>
            </w:r>
          </w:p>
        </w:tc>
      </w:tr>
    </w:tbl>
    <w:p w:rsidR="00087A19" w:rsidRDefault="00087A19" w:rsidP="00087A19">
      <w:pPr>
        <w:jc w:val="both"/>
        <w:rPr>
          <w:rFonts w:ascii="Calibri" w:hAnsi="Calibri" w:cs="Calibri"/>
        </w:rPr>
      </w:pPr>
    </w:p>
    <w:p w:rsidR="00AE6991" w:rsidRPr="00117D4F" w:rsidRDefault="00A3031E" w:rsidP="007E6612">
      <w:pPr>
        <w:jc w:val="both"/>
        <w:rPr>
          <w:rFonts w:ascii="Calibri" w:hAnsi="Calibri" w:cs="Calibri"/>
        </w:rPr>
      </w:pPr>
      <w:r w:rsidRPr="00117D4F">
        <w:rPr>
          <w:rFonts w:ascii="Calibri" w:hAnsi="Calibri" w:cs="Calibri"/>
        </w:rPr>
        <w:t>A l'issue des périodes de suspension du contrat de travail consécutives à une maladie ou un accident, si le salarié est déclaré par le médecin du travail inapte à reprendre l'emploi précédemment occupé,</w:t>
      </w:r>
      <w:r w:rsidR="00117D4F" w:rsidRPr="00117D4F">
        <w:rPr>
          <w:rFonts w:ascii="Calibri" w:hAnsi="Calibri" w:cs="Calibri"/>
        </w:rPr>
        <w:t xml:space="preserve"> </w:t>
      </w:r>
      <w:r w:rsidRPr="00117D4F">
        <w:rPr>
          <w:rFonts w:ascii="Calibri" w:hAnsi="Calibri" w:cs="Calibri"/>
          <w:bCs/>
        </w:rPr>
        <w:t>l'employeur est tenu de lui proposer un autre emploi approprié à ses capacités aussi comparable que possible à l'emploi précédemment occupé</w:t>
      </w:r>
      <w:r w:rsidRPr="00117D4F">
        <w:rPr>
          <w:rFonts w:ascii="Calibri" w:hAnsi="Calibri" w:cs="Calibri"/>
        </w:rPr>
        <w:t>. Cependant, le contrat de travail du salarié reconnu inapte peut être rompu par l’employeur lorsque ce dernier peut justifier soit de son impossibilité de proposer un emploi approprié aux capacités du salarié, soit du refus par le salarié de l’emploi proposé.</w:t>
      </w:r>
    </w:p>
    <w:p w:rsidR="00546211" w:rsidRPr="00117D4F" w:rsidRDefault="00546211" w:rsidP="007E6612">
      <w:pPr>
        <w:jc w:val="both"/>
        <w:rPr>
          <w:rFonts w:ascii="Calibri" w:hAnsi="Calibri" w:cs="Calibri"/>
        </w:rPr>
      </w:pPr>
    </w:p>
    <w:p w:rsidR="00546211" w:rsidRDefault="00117D4F" w:rsidP="007E6612">
      <w:pPr>
        <w:jc w:val="both"/>
        <w:rPr>
          <w:rFonts w:ascii="Calibri" w:hAnsi="Calibri" w:cs="Calibri"/>
        </w:rPr>
      </w:pPr>
      <w:r w:rsidRPr="00117D4F">
        <w:rPr>
          <w:rFonts w:ascii="Calibri" w:hAnsi="Calibri" w:cs="Calibri"/>
        </w:rPr>
        <w:t xml:space="preserve">En fait, </w:t>
      </w:r>
      <w:r>
        <w:rPr>
          <w:rFonts w:ascii="Calibri" w:hAnsi="Calibri" w:cs="Calibri"/>
        </w:rPr>
        <w:t>les</w:t>
      </w:r>
      <w:r w:rsidRPr="00117D4F">
        <w:rPr>
          <w:rFonts w:ascii="Calibri" w:hAnsi="Calibri" w:cs="Calibri"/>
        </w:rPr>
        <w:t xml:space="preserve"> sondés </w:t>
      </w:r>
      <w:r>
        <w:rPr>
          <w:rFonts w:ascii="Calibri" w:hAnsi="Calibri" w:cs="Calibri"/>
        </w:rPr>
        <w:t xml:space="preserve">sont </w:t>
      </w:r>
      <w:r w:rsidRPr="00117D4F">
        <w:rPr>
          <w:rFonts w:ascii="Calibri" w:hAnsi="Calibri" w:cs="Calibri"/>
        </w:rPr>
        <w:t xml:space="preserve">quatre fois plus </w:t>
      </w:r>
      <w:r>
        <w:rPr>
          <w:rFonts w:ascii="Calibri" w:hAnsi="Calibri" w:cs="Calibri"/>
        </w:rPr>
        <w:t>nombreux à</w:t>
      </w:r>
      <w:r w:rsidRPr="00117D4F">
        <w:rPr>
          <w:rFonts w:ascii="Calibri" w:hAnsi="Calibri" w:cs="Calibri"/>
        </w:rPr>
        <w:t xml:space="preserve"> avoir </w:t>
      </w:r>
      <w:r>
        <w:rPr>
          <w:rFonts w:ascii="Calibri" w:hAnsi="Calibri" w:cs="Calibri"/>
        </w:rPr>
        <w:t xml:space="preserve">dû </w:t>
      </w:r>
      <w:r w:rsidRPr="00117D4F">
        <w:rPr>
          <w:rFonts w:ascii="Calibri" w:hAnsi="Calibri" w:cs="Calibri"/>
        </w:rPr>
        <w:t>licenci</w:t>
      </w:r>
      <w:r>
        <w:rPr>
          <w:rFonts w:ascii="Calibri" w:hAnsi="Calibri" w:cs="Calibri"/>
        </w:rPr>
        <w:t>er</w:t>
      </w:r>
      <w:r w:rsidRPr="00117D4F">
        <w:rPr>
          <w:rFonts w:ascii="Calibri" w:hAnsi="Calibri" w:cs="Calibri"/>
        </w:rPr>
        <w:t xml:space="preserve"> du personnel logistique pour raison d’inaptitude reconnue par la médecine du travail</w:t>
      </w:r>
      <w:r>
        <w:rPr>
          <w:rFonts w:ascii="Calibri" w:hAnsi="Calibri" w:cs="Calibri"/>
        </w:rPr>
        <w:t> : 13% des établissements interrogés ont été amenés à licencier des salariés de la logistique pour ce motif en 2014, contre 3% seulement qui ont pu proposer un reclassement professionnel accepté par les salariés concernés</w:t>
      </w:r>
      <w:r w:rsidRPr="00117D4F">
        <w:rPr>
          <w:rFonts w:ascii="Calibri" w:hAnsi="Calibri" w:cs="Calibri"/>
        </w:rPr>
        <w:t>.</w:t>
      </w:r>
    </w:p>
    <w:p w:rsidR="00117D4F" w:rsidRDefault="00117D4F" w:rsidP="007E6612">
      <w:pPr>
        <w:jc w:val="both"/>
        <w:rPr>
          <w:rFonts w:ascii="Calibri" w:hAnsi="Calibri" w:cs="Calibri"/>
        </w:rPr>
      </w:pPr>
    </w:p>
    <w:p w:rsidR="00A17731" w:rsidRPr="00A17731" w:rsidRDefault="000A7224" w:rsidP="00A17731">
      <w:pPr>
        <w:rPr>
          <w:rFonts w:ascii="Arial Black" w:hAnsi="Arial Black" w:cs="Calibri"/>
          <w:b/>
          <w:bCs/>
          <w:color w:val="632423"/>
        </w:rPr>
      </w:pPr>
      <w:r>
        <w:rPr>
          <w:rFonts w:ascii="Arial Black" w:hAnsi="Arial Black" w:cs="Calibri"/>
          <w:b/>
          <w:bCs/>
          <w:color w:val="632423"/>
        </w:rPr>
        <w:t>Une mise en place progressive du</w:t>
      </w:r>
      <w:r w:rsidR="00A17731" w:rsidRPr="00A17731">
        <w:rPr>
          <w:rFonts w:ascii="Arial Black" w:hAnsi="Arial Black" w:cs="Calibri"/>
          <w:b/>
          <w:bCs/>
          <w:color w:val="632423"/>
        </w:rPr>
        <w:t xml:space="preserve"> Compte </w:t>
      </w:r>
      <w:r w:rsidR="00E55F24">
        <w:rPr>
          <w:rFonts w:ascii="Arial Black" w:hAnsi="Arial Black" w:cs="Calibri"/>
          <w:b/>
          <w:bCs/>
          <w:color w:val="632423"/>
        </w:rPr>
        <w:t xml:space="preserve">personnel de </w:t>
      </w:r>
      <w:r w:rsidR="00A17731" w:rsidRPr="00A17731">
        <w:rPr>
          <w:rFonts w:ascii="Arial Black" w:hAnsi="Arial Black" w:cs="Calibri"/>
          <w:b/>
          <w:bCs/>
          <w:color w:val="632423"/>
        </w:rPr>
        <w:t xml:space="preserve">prévention </w:t>
      </w:r>
      <w:r w:rsidR="00E55F24">
        <w:rPr>
          <w:rFonts w:ascii="Arial Black" w:hAnsi="Arial Black" w:cs="Calibri"/>
          <w:b/>
          <w:bCs/>
          <w:color w:val="632423"/>
        </w:rPr>
        <w:t xml:space="preserve">de la </w:t>
      </w:r>
      <w:r w:rsidR="00A17731" w:rsidRPr="00A17731">
        <w:rPr>
          <w:rFonts w:ascii="Arial Black" w:hAnsi="Arial Black" w:cs="Calibri"/>
          <w:b/>
          <w:bCs/>
          <w:color w:val="632423"/>
        </w:rPr>
        <w:t>pénibilité</w:t>
      </w:r>
    </w:p>
    <w:p w:rsidR="00117D4F" w:rsidRDefault="00117D4F" w:rsidP="007E6612">
      <w:pPr>
        <w:jc w:val="both"/>
        <w:rPr>
          <w:rFonts w:ascii="Calibri" w:hAnsi="Calibri" w:cs="Calibri"/>
        </w:rPr>
      </w:pPr>
    </w:p>
    <w:p w:rsidR="00192D1C" w:rsidRDefault="00A17731" w:rsidP="00F03BB6">
      <w:pPr>
        <w:jc w:val="center"/>
        <w:rPr>
          <w:rFonts w:ascii="Calibri" w:hAnsi="Calibri" w:cs="Calibri"/>
          <w:b/>
          <w:bCs/>
        </w:rPr>
      </w:pPr>
      <w:r w:rsidRPr="00F03BB6">
        <w:rPr>
          <w:rFonts w:ascii="Calibri" w:hAnsi="Calibri" w:cs="Calibri"/>
          <w:b/>
          <w:bCs/>
        </w:rPr>
        <w:t>Pourcentage d’établissements ayant réalisé l’évaluation des 4 premiers facteurs de risque</w:t>
      </w:r>
      <w:r w:rsidR="00DE404E" w:rsidRPr="00F03BB6">
        <w:rPr>
          <w:rFonts w:ascii="Calibri" w:hAnsi="Calibri" w:cs="Calibri"/>
          <w:b/>
          <w:bCs/>
        </w:rPr>
        <w:t>s</w:t>
      </w:r>
    </w:p>
    <w:p w:rsidR="001A1D51" w:rsidRPr="00F03BB6" w:rsidRDefault="001A1D51" w:rsidP="00F03BB6">
      <w:pPr>
        <w:jc w:val="center"/>
        <w:rPr>
          <w:rFonts w:ascii="Calibri" w:hAnsi="Calibri" w:cs="Calibri"/>
          <w:b/>
          <w:bCs/>
        </w:rPr>
      </w:pPr>
      <w:r>
        <w:rPr>
          <w:rFonts w:ascii="Calibri" w:hAnsi="Calibri" w:cs="Calibri"/>
          <w:i/>
          <w:iCs/>
          <w:noProof/>
        </w:rPr>
        <w:drawing>
          <wp:inline distT="0" distB="0" distL="0" distR="0" wp14:anchorId="4F722D43" wp14:editId="6A3F372F">
            <wp:extent cx="3925019" cy="1518249"/>
            <wp:effectExtent l="0" t="0" r="18415" b="25400"/>
            <wp:docPr id="10" name="Obje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17731" w:rsidRPr="005A03B7" w:rsidRDefault="005A03B7" w:rsidP="001A1D51">
      <w:pPr>
        <w:spacing w:before="225" w:line="273" w:lineRule="atLeast"/>
        <w:jc w:val="both"/>
        <w:rPr>
          <w:rFonts w:ascii="Calibri" w:hAnsi="Calibri" w:cs="Calibri"/>
        </w:rPr>
      </w:pPr>
      <w:r w:rsidRPr="005A03B7">
        <w:rPr>
          <w:rFonts w:ascii="Calibri" w:hAnsi="Calibri" w:cs="Calibri"/>
        </w:rPr>
        <w:t>La pénibilité au travail se définit comme une exposition à un ou plusieurs facteurs de risques professionnels susceptibles de laisser des traces durables, identifiables et irréversibles sur la santé.</w:t>
      </w:r>
      <w:r w:rsidR="00A17731" w:rsidRPr="00A17731">
        <w:rPr>
          <w:rFonts w:ascii="Calibri" w:hAnsi="Calibri" w:cs="Calibri"/>
        </w:rPr>
        <w:t xml:space="preserve"> </w:t>
      </w:r>
      <w:r w:rsidRPr="005A03B7">
        <w:rPr>
          <w:rFonts w:ascii="Calibri" w:hAnsi="Calibri" w:cs="Calibri"/>
        </w:rPr>
        <w:t xml:space="preserve">En 2011, 10 facteurs </w:t>
      </w:r>
      <w:r w:rsidR="003127F7" w:rsidRPr="005A03B7">
        <w:rPr>
          <w:rFonts w:ascii="Calibri" w:hAnsi="Calibri" w:cs="Calibri"/>
        </w:rPr>
        <w:t xml:space="preserve">de risques </w:t>
      </w:r>
      <w:r w:rsidRPr="005A03B7">
        <w:rPr>
          <w:rFonts w:ascii="Calibri" w:hAnsi="Calibri" w:cs="Calibri"/>
        </w:rPr>
        <w:t xml:space="preserve">ont été définis et inscrits dans le code du travail. </w:t>
      </w:r>
      <w:r w:rsidR="003127F7" w:rsidRPr="005A03B7">
        <w:rPr>
          <w:rFonts w:ascii="Calibri" w:hAnsi="Calibri" w:cs="Calibri"/>
        </w:rPr>
        <w:t xml:space="preserve">Le Compte </w:t>
      </w:r>
      <w:r w:rsidR="00E55F24">
        <w:rPr>
          <w:rFonts w:ascii="Calibri" w:hAnsi="Calibri" w:cs="Calibri"/>
        </w:rPr>
        <w:t xml:space="preserve">personnel de </w:t>
      </w:r>
      <w:r w:rsidR="003127F7" w:rsidRPr="005A03B7">
        <w:rPr>
          <w:rFonts w:ascii="Calibri" w:hAnsi="Calibri" w:cs="Calibri"/>
        </w:rPr>
        <w:t>prévention</w:t>
      </w:r>
      <w:r w:rsidR="00E55F24">
        <w:rPr>
          <w:rFonts w:ascii="Calibri" w:hAnsi="Calibri" w:cs="Calibri"/>
        </w:rPr>
        <w:t xml:space="preserve"> de la </w:t>
      </w:r>
      <w:r w:rsidR="003127F7" w:rsidRPr="005A03B7">
        <w:rPr>
          <w:rFonts w:ascii="Calibri" w:hAnsi="Calibri" w:cs="Calibri"/>
        </w:rPr>
        <w:t xml:space="preserve"> pénibilité</w:t>
      </w:r>
      <w:r w:rsidR="003127F7" w:rsidRPr="00A17731">
        <w:rPr>
          <w:rFonts w:ascii="Calibri" w:hAnsi="Calibri" w:cs="Calibri"/>
        </w:rPr>
        <w:t>, créé par l</w:t>
      </w:r>
      <w:r w:rsidR="003127F7" w:rsidRPr="005A03B7">
        <w:rPr>
          <w:rFonts w:ascii="Calibri" w:hAnsi="Calibri" w:cs="Calibri"/>
        </w:rPr>
        <w:t>a </w:t>
      </w:r>
      <w:hyperlink r:id="rId61" w:tgtFrame="_blank" w:history="1">
        <w:r w:rsidR="003127F7" w:rsidRPr="005A03B7">
          <w:rPr>
            <w:rFonts w:ascii="Calibri" w:hAnsi="Calibri" w:cs="Calibri"/>
          </w:rPr>
          <w:t>loi du 20 janvier 2014 garantissant l'avenir et la justice du système de retraites</w:t>
        </w:r>
      </w:hyperlink>
      <w:r w:rsidR="003127F7" w:rsidRPr="00A17731">
        <w:rPr>
          <w:rFonts w:ascii="Calibri" w:hAnsi="Calibri" w:cs="Calibri"/>
        </w:rPr>
        <w:t>,</w:t>
      </w:r>
      <w:r w:rsidR="003127F7" w:rsidRPr="005A03B7">
        <w:rPr>
          <w:rFonts w:ascii="Calibri" w:hAnsi="Calibri" w:cs="Calibri"/>
        </w:rPr>
        <w:t xml:space="preserve"> repose sur la définition de seuils annuels minimums d'exposition associés à chacun de</w:t>
      </w:r>
      <w:r w:rsidR="003127F7" w:rsidRPr="00A17731">
        <w:rPr>
          <w:rFonts w:ascii="Calibri" w:hAnsi="Calibri" w:cs="Calibri"/>
        </w:rPr>
        <w:t xml:space="preserve"> ce</w:t>
      </w:r>
      <w:r w:rsidR="003127F7" w:rsidRPr="005A03B7">
        <w:rPr>
          <w:rFonts w:ascii="Calibri" w:hAnsi="Calibri" w:cs="Calibri"/>
        </w:rPr>
        <w:t>s 10 facteurs</w:t>
      </w:r>
      <w:r w:rsidR="003127F7" w:rsidRPr="00A17731">
        <w:rPr>
          <w:rFonts w:ascii="Calibri" w:hAnsi="Calibri" w:cs="Calibri"/>
        </w:rPr>
        <w:t> :</w:t>
      </w:r>
      <w:r w:rsidR="003127F7" w:rsidRPr="005A03B7">
        <w:rPr>
          <w:rFonts w:ascii="Calibri" w:hAnsi="Calibri" w:cs="Calibri"/>
        </w:rPr>
        <w:t xml:space="preserve"> chaque salarié exposé à au moins un facteur au-delà du seuil fixé, et dont la durée du contrat de travail est supérieure ou égale à un mois, doit être déclaré par son employeur.</w:t>
      </w:r>
      <w:r w:rsidR="003127F7" w:rsidRPr="00A17731">
        <w:rPr>
          <w:rFonts w:ascii="Calibri" w:hAnsi="Calibri" w:cs="Calibri"/>
        </w:rPr>
        <w:t xml:space="preserve"> </w:t>
      </w:r>
      <w:r w:rsidR="00A17731" w:rsidRPr="005A03B7">
        <w:rPr>
          <w:rFonts w:ascii="Calibri" w:hAnsi="Calibri" w:cs="Calibri"/>
        </w:rPr>
        <w:t>Cette déclaration permet au salarié concerné de bénéficier d'un compte et de cumuler des points, au titre d'un ou plusieurs facteurs de risques sur une période donnée. Le Compte prévention pénibilité est alimenté tout au long de la carrière, jusqu'à 100 points maximum (non renouv</w:t>
      </w:r>
      <w:r w:rsidR="00A17731" w:rsidRPr="00A17731">
        <w:rPr>
          <w:rFonts w:ascii="Calibri" w:hAnsi="Calibri" w:cs="Calibri"/>
        </w:rPr>
        <w:t>elables) et</w:t>
      </w:r>
      <w:r w:rsidR="00E55F24" w:rsidRPr="00E55F24">
        <w:rPr>
          <w:rFonts w:ascii="Calibri" w:hAnsi="Calibri" w:cs="Calibri"/>
        </w:rPr>
        <w:t xml:space="preserve"> permet aux salariés exposés à des facteurs de pénibilité de bénéficier de compensations en termes de formation, de réduction du temps de travail ou de retraite anticipée.</w:t>
      </w:r>
    </w:p>
    <w:p w:rsidR="00A17731" w:rsidRPr="001A1D51" w:rsidRDefault="00A17731" w:rsidP="00A17731">
      <w:pPr>
        <w:jc w:val="both"/>
        <w:rPr>
          <w:rFonts w:ascii="Calibri" w:hAnsi="Calibri" w:cs="Calibri"/>
        </w:rPr>
      </w:pPr>
    </w:p>
    <w:p w:rsidR="005A03B7" w:rsidRPr="005A03B7" w:rsidRDefault="003127F7" w:rsidP="00A17731">
      <w:pPr>
        <w:jc w:val="both"/>
        <w:rPr>
          <w:rFonts w:ascii="Calibri" w:hAnsi="Calibri" w:cs="Calibri"/>
        </w:rPr>
      </w:pPr>
      <w:r w:rsidRPr="00A17731">
        <w:rPr>
          <w:rFonts w:ascii="Calibri" w:hAnsi="Calibri" w:cs="Calibri"/>
        </w:rPr>
        <w:t>La mise en œuvre du</w:t>
      </w:r>
      <w:r w:rsidR="005A03B7" w:rsidRPr="005A03B7">
        <w:rPr>
          <w:rFonts w:ascii="Calibri" w:hAnsi="Calibri" w:cs="Calibri"/>
        </w:rPr>
        <w:t xml:space="preserve"> Compte prévention pénibilité est progressive : 4 facteurs de risques </w:t>
      </w:r>
      <w:r w:rsidR="00A17731">
        <w:rPr>
          <w:rFonts w:ascii="Calibri" w:hAnsi="Calibri" w:cs="Calibri"/>
        </w:rPr>
        <w:t xml:space="preserve">- </w:t>
      </w:r>
      <w:r w:rsidR="00A17731" w:rsidRPr="005A03B7">
        <w:rPr>
          <w:rFonts w:ascii="Calibri" w:hAnsi="Calibri" w:cs="Calibri"/>
        </w:rPr>
        <w:t>les activités exercées en milieu hyperbare (hautes pressions)</w:t>
      </w:r>
      <w:r w:rsidR="00A17731" w:rsidRPr="00A17731">
        <w:rPr>
          <w:rFonts w:ascii="Calibri" w:hAnsi="Calibri" w:cs="Calibri"/>
        </w:rPr>
        <w:t xml:space="preserve">, </w:t>
      </w:r>
      <w:r w:rsidR="00A17731" w:rsidRPr="005A03B7">
        <w:rPr>
          <w:rFonts w:ascii="Calibri" w:hAnsi="Calibri" w:cs="Calibri"/>
        </w:rPr>
        <w:t>le travail de nuit</w:t>
      </w:r>
      <w:r w:rsidR="00A17731" w:rsidRPr="00A17731">
        <w:rPr>
          <w:rFonts w:ascii="Calibri" w:hAnsi="Calibri" w:cs="Calibri"/>
        </w:rPr>
        <w:t xml:space="preserve">, </w:t>
      </w:r>
      <w:r w:rsidR="00A17731" w:rsidRPr="005A03B7">
        <w:rPr>
          <w:rFonts w:ascii="Calibri" w:hAnsi="Calibri" w:cs="Calibri"/>
        </w:rPr>
        <w:t>le travail en équipes successives alternantes</w:t>
      </w:r>
      <w:r w:rsidR="00A17731" w:rsidRPr="00A17731">
        <w:rPr>
          <w:rFonts w:ascii="Calibri" w:hAnsi="Calibri" w:cs="Calibri"/>
        </w:rPr>
        <w:t>, le travail répétitif -</w:t>
      </w:r>
      <w:r w:rsidR="00A17731" w:rsidRPr="005A03B7">
        <w:rPr>
          <w:rFonts w:ascii="Calibri" w:hAnsi="Calibri" w:cs="Calibri"/>
        </w:rPr>
        <w:t xml:space="preserve"> </w:t>
      </w:r>
      <w:r w:rsidR="005A03B7" w:rsidRPr="005A03B7">
        <w:rPr>
          <w:rFonts w:ascii="Calibri" w:hAnsi="Calibri" w:cs="Calibri"/>
        </w:rPr>
        <w:t>sont pris en compte dès 2015, les 6 autres en 2016</w:t>
      </w:r>
      <w:r w:rsidR="00A17731">
        <w:rPr>
          <w:rFonts w:ascii="Calibri" w:hAnsi="Calibri" w:cs="Calibri"/>
        </w:rPr>
        <w:t xml:space="preserve"> - </w:t>
      </w:r>
      <w:r w:rsidR="005A03B7" w:rsidRPr="005A03B7">
        <w:rPr>
          <w:rFonts w:ascii="Calibri" w:hAnsi="Calibri" w:cs="Calibri"/>
        </w:rPr>
        <w:t>la m</w:t>
      </w:r>
      <w:r w:rsidR="00A17731" w:rsidRPr="00A17731">
        <w:rPr>
          <w:rFonts w:ascii="Calibri" w:hAnsi="Calibri" w:cs="Calibri"/>
        </w:rPr>
        <w:t xml:space="preserve">anutention manuelle de charges, </w:t>
      </w:r>
      <w:r w:rsidR="005A03B7" w:rsidRPr="005A03B7">
        <w:rPr>
          <w:rFonts w:ascii="Calibri" w:hAnsi="Calibri" w:cs="Calibri"/>
        </w:rPr>
        <w:t>les postures pénibles ou posit</w:t>
      </w:r>
      <w:r w:rsidR="00A17731" w:rsidRPr="00A17731">
        <w:rPr>
          <w:rFonts w:ascii="Calibri" w:hAnsi="Calibri" w:cs="Calibri"/>
        </w:rPr>
        <w:t xml:space="preserve">ions forcées des articulations, les vibrations mécaniques, </w:t>
      </w:r>
      <w:r w:rsidR="005A03B7" w:rsidRPr="005A03B7">
        <w:rPr>
          <w:rFonts w:ascii="Calibri" w:hAnsi="Calibri" w:cs="Calibri"/>
        </w:rPr>
        <w:t>les agents chimiques dangereux</w:t>
      </w:r>
      <w:r w:rsidR="00A17731" w:rsidRPr="00A17731">
        <w:rPr>
          <w:rFonts w:ascii="Calibri" w:hAnsi="Calibri" w:cs="Calibri"/>
        </w:rPr>
        <w:t xml:space="preserve"> (y compris poussières et fumées), les températures extrêmes, le bruit. </w:t>
      </w:r>
    </w:p>
    <w:p w:rsidR="00546211" w:rsidRDefault="00546211" w:rsidP="007E6612">
      <w:pPr>
        <w:jc w:val="both"/>
        <w:rPr>
          <w:rFonts w:ascii="Calibri" w:hAnsi="Calibri" w:cs="Calibri"/>
        </w:rPr>
      </w:pPr>
    </w:p>
    <w:p w:rsidR="00A23526" w:rsidRPr="00A23526" w:rsidRDefault="00A23526" w:rsidP="007E6612">
      <w:pPr>
        <w:jc w:val="both"/>
        <w:rPr>
          <w:rFonts w:ascii="Calibri" w:hAnsi="Calibri" w:cs="Calibri"/>
        </w:rPr>
      </w:pPr>
      <w:r w:rsidRPr="00A23526">
        <w:rPr>
          <w:rFonts w:ascii="Calibri" w:hAnsi="Calibri" w:cs="Calibri"/>
        </w:rPr>
        <w:t>L'employeur peut établir des fiches d'exposition jusqu'au 31 janvier 2016, y compris pour les contrats se finissant durant l'année 2015.</w:t>
      </w:r>
    </w:p>
    <w:p w:rsidR="00546211" w:rsidRDefault="00DE404E" w:rsidP="007E6612">
      <w:pPr>
        <w:jc w:val="both"/>
        <w:rPr>
          <w:rFonts w:ascii="Calibri" w:hAnsi="Calibri" w:cs="Calibri"/>
        </w:rPr>
      </w:pPr>
      <w:r>
        <w:rPr>
          <w:rFonts w:ascii="Calibri" w:hAnsi="Calibri" w:cs="Calibri"/>
        </w:rPr>
        <w:t xml:space="preserve">47% des établissements sondés déclarent avoir réalisé à la date de l’enquête l’évaluation des quatre premiers facteurs de risques. </w:t>
      </w:r>
    </w:p>
    <w:p w:rsidR="00546211" w:rsidRDefault="00546211" w:rsidP="007E6612">
      <w:pPr>
        <w:jc w:val="both"/>
        <w:rPr>
          <w:rFonts w:ascii="Calibri" w:hAnsi="Calibri" w:cs="Calibri"/>
        </w:rPr>
      </w:pPr>
    </w:p>
    <w:p w:rsidR="007428D0" w:rsidRDefault="00F70D30" w:rsidP="0017147D">
      <w:pPr>
        <w:jc w:val="center"/>
        <w:rPr>
          <w:rFonts w:asciiTheme="minorHAnsi" w:hAnsiTheme="minorHAnsi" w:cstheme="minorHAnsi"/>
          <w:b/>
          <w:szCs w:val="20"/>
        </w:rPr>
      </w:pPr>
      <w:r w:rsidRPr="0017147D">
        <w:rPr>
          <w:rFonts w:asciiTheme="minorHAnsi" w:hAnsiTheme="minorHAnsi" w:cstheme="minorHAnsi"/>
          <w:b/>
          <w:szCs w:val="20"/>
        </w:rPr>
        <w:t>Estimation du p</w:t>
      </w:r>
      <w:r w:rsidR="00AB499C" w:rsidRPr="0017147D">
        <w:rPr>
          <w:rFonts w:asciiTheme="minorHAnsi" w:hAnsiTheme="minorHAnsi" w:cstheme="minorHAnsi"/>
          <w:b/>
          <w:szCs w:val="20"/>
        </w:rPr>
        <w:t>ourcentage de salariés parmi le personnel logistique qui seraient exposés à l’un ou plusieurs de ces facteurs de risque</w:t>
      </w:r>
      <w:r w:rsidRPr="0017147D">
        <w:rPr>
          <w:rFonts w:asciiTheme="minorHAnsi" w:hAnsiTheme="minorHAnsi" w:cstheme="minorHAnsi"/>
          <w:b/>
          <w:szCs w:val="20"/>
        </w:rPr>
        <w:t>s</w:t>
      </w:r>
    </w:p>
    <w:p w:rsidR="0017147D" w:rsidRPr="0017147D" w:rsidRDefault="0017147D" w:rsidP="0017147D">
      <w:pPr>
        <w:jc w:val="center"/>
        <w:rPr>
          <w:rFonts w:asciiTheme="minorHAnsi" w:hAnsiTheme="minorHAnsi" w:cstheme="minorHAnsi"/>
          <w:sz w:val="20"/>
          <w:szCs w:val="20"/>
        </w:rPr>
      </w:pPr>
    </w:p>
    <w:tbl>
      <w:tblPr>
        <w:tblStyle w:val="Trameclaire-Accent2"/>
        <w:tblW w:w="10740" w:type="dxa"/>
        <w:tblLayout w:type="fixed"/>
        <w:tblLook w:val="04A0" w:firstRow="1" w:lastRow="0" w:firstColumn="1" w:lastColumn="0" w:noHBand="0" w:noVBand="1"/>
      </w:tblPr>
      <w:tblGrid>
        <w:gridCol w:w="1146"/>
        <w:gridCol w:w="1146"/>
        <w:gridCol w:w="1146"/>
        <w:gridCol w:w="1146"/>
        <w:gridCol w:w="1146"/>
        <w:gridCol w:w="1146"/>
        <w:gridCol w:w="1146"/>
        <w:gridCol w:w="1146"/>
        <w:gridCol w:w="1572"/>
      </w:tblGrid>
      <w:tr w:rsidR="001A1D51" w:rsidRPr="001A1D51" w:rsidTr="002E1B1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46" w:type="dxa"/>
            <w:noWrap/>
            <w:vAlign w:val="center"/>
            <w:hideMark/>
          </w:tcPr>
          <w:p w:rsidR="00BD1871" w:rsidRPr="001A1D51" w:rsidRDefault="00BD1871" w:rsidP="001A1D51">
            <w:pPr>
              <w:jc w:val="center"/>
              <w:rPr>
                <w:rFonts w:ascii="Calibri" w:hAnsi="Calibri" w:cs="Calibri"/>
                <w:b w:val="0"/>
                <w:color w:val="auto"/>
                <w:sz w:val="22"/>
                <w:szCs w:val="22"/>
              </w:rPr>
            </w:pPr>
            <w:r w:rsidRPr="001A1D51">
              <w:rPr>
                <w:rFonts w:ascii="Calibri" w:hAnsi="Calibri" w:cs="Calibri"/>
                <w:b w:val="0"/>
                <w:color w:val="auto"/>
                <w:sz w:val="22"/>
                <w:szCs w:val="22"/>
              </w:rPr>
              <w:t>IAA</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PHAR</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AUTO</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IEM</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CHIM</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COM</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TRP</w:t>
            </w:r>
          </w:p>
        </w:tc>
        <w:tc>
          <w:tcPr>
            <w:tcW w:w="1146"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PRL</w:t>
            </w:r>
          </w:p>
        </w:tc>
        <w:tc>
          <w:tcPr>
            <w:tcW w:w="1572" w:type="dxa"/>
            <w:noWrap/>
            <w:vAlign w:val="center"/>
            <w:hideMark/>
          </w:tcPr>
          <w:p w:rsidR="00BD1871" w:rsidRPr="001A1D51" w:rsidRDefault="00BD1871" w:rsidP="001A1D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1A1D51">
              <w:rPr>
                <w:rFonts w:ascii="Calibri" w:hAnsi="Calibri" w:cs="Calibri"/>
                <w:b w:val="0"/>
                <w:color w:val="auto"/>
                <w:sz w:val="22"/>
                <w:szCs w:val="22"/>
              </w:rPr>
              <w:t>Total général</w:t>
            </w:r>
          </w:p>
        </w:tc>
      </w:tr>
      <w:tr w:rsidR="001A1D51" w:rsidRPr="001A1D51" w:rsidTr="002E1B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46" w:type="dxa"/>
            <w:noWrap/>
            <w:vAlign w:val="center"/>
            <w:hideMark/>
          </w:tcPr>
          <w:p w:rsidR="00BD1871" w:rsidRPr="001A1D51" w:rsidRDefault="00BD1871" w:rsidP="001A1D51">
            <w:pPr>
              <w:jc w:val="center"/>
              <w:rPr>
                <w:rFonts w:ascii="Calibri" w:hAnsi="Calibri" w:cs="Calibri"/>
                <w:b w:val="0"/>
                <w:color w:val="auto"/>
                <w:sz w:val="22"/>
                <w:szCs w:val="22"/>
              </w:rPr>
            </w:pPr>
            <w:r w:rsidRPr="001A1D51">
              <w:rPr>
                <w:rFonts w:ascii="Calibri" w:hAnsi="Calibri" w:cs="Calibri"/>
                <w:b w:val="0"/>
                <w:color w:val="auto"/>
                <w:sz w:val="22"/>
                <w:szCs w:val="22"/>
              </w:rPr>
              <w:t>31%</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6%</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9%</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12%</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14%</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27%</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40%</w:t>
            </w:r>
          </w:p>
        </w:tc>
        <w:tc>
          <w:tcPr>
            <w:tcW w:w="1146"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33%</w:t>
            </w:r>
          </w:p>
        </w:tc>
        <w:tc>
          <w:tcPr>
            <w:tcW w:w="1572" w:type="dxa"/>
            <w:noWrap/>
            <w:vAlign w:val="center"/>
            <w:hideMark/>
          </w:tcPr>
          <w:p w:rsidR="00BD1871" w:rsidRPr="001A1D51" w:rsidRDefault="00BD1871" w:rsidP="001A1D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1A1D51">
              <w:rPr>
                <w:rFonts w:ascii="Calibri" w:hAnsi="Calibri" w:cs="Calibri"/>
                <w:color w:val="auto"/>
                <w:sz w:val="22"/>
                <w:szCs w:val="22"/>
              </w:rPr>
              <w:t>22%</w:t>
            </w:r>
          </w:p>
        </w:tc>
      </w:tr>
    </w:tbl>
    <w:p w:rsidR="007428D0" w:rsidRDefault="007428D0" w:rsidP="007E6612">
      <w:pPr>
        <w:jc w:val="both"/>
        <w:rPr>
          <w:rFonts w:ascii="Calibri" w:hAnsi="Calibri" w:cs="Calibri"/>
        </w:rPr>
      </w:pPr>
    </w:p>
    <w:p w:rsidR="007428D0" w:rsidRDefault="00AB499C" w:rsidP="007E6612">
      <w:pPr>
        <w:jc w:val="both"/>
        <w:rPr>
          <w:rFonts w:ascii="Calibri" w:hAnsi="Calibri" w:cs="Calibri"/>
        </w:rPr>
      </w:pPr>
      <w:r>
        <w:rPr>
          <w:rFonts w:ascii="Calibri" w:hAnsi="Calibri" w:cs="Calibri"/>
        </w:rPr>
        <w:t xml:space="preserve">Au sein des établissements qui déclarent avoir mené l’évaluation des quatre premiers facteurs de risques, en moyenne un peu plus d’un salarié sur cinq occupant un emploi logistique serait exposé à au moins un de ces risques, </w:t>
      </w:r>
      <w:r w:rsidRPr="00AB499C">
        <w:rPr>
          <w:rFonts w:ascii="Calibri" w:hAnsi="Calibri" w:cs="Calibri"/>
        </w:rPr>
        <w:t>au-delà des seuils minim</w:t>
      </w:r>
      <w:r>
        <w:rPr>
          <w:rFonts w:ascii="Calibri" w:hAnsi="Calibri" w:cs="Calibri"/>
        </w:rPr>
        <w:t>um annuels d’exposition fixés.</w:t>
      </w:r>
    </w:p>
    <w:p w:rsidR="00AB499C" w:rsidRDefault="00AB499C" w:rsidP="007E6612">
      <w:pPr>
        <w:jc w:val="both"/>
        <w:rPr>
          <w:rFonts w:ascii="Calibri" w:hAnsi="Calibri" w:cs="Calibri"/>
        </w:rPr>
      </w:pPr>
    </w:p>
    <w:p w:rsidR="00F70D30" w:rsidRDefault="00F70D30" w:rsidP="0017147D">
      <w:pPr>
        <w:jc w:val="center"/>
        <w:rPr>
          <w:rFonts w:asciiTheme="minorHAnsi" w:hAnsiTheme="minorHAnsi" w:cstheme="minorHAnsi"/>
          <w:b/>
          <w:szCs w:val="20"/>
        </w:rPr>
      </w:pPr>
      <w:r w:rsidRPr="0017147D">
        <w:rPr>
          <w:rFonts w:asciiTheme="minorHAnsi" w:hAnsiTheme="minorHAnsi" w:cstheme="minorHAnsi"/>
          <w:b/>
          <w:szCs w:val="20"/>
        </w:rPr>
        <w:t>Estimation du pourcentage de salariés parmi le personnel logistique concernés par les premiers facteurs de risques</w:t>
      </w:r>
    </w:p>
    <w:p w:rsidR="0017147D" w:rsidRPr="0017147D" w:rsidRDefault="0017147D" w:rsidP="0017147D">
      <w:pPr>
        <w:jc w:val="center"/>
        <w:rPr>
          <w:rFonts w:asciiTheme="minorHAnsi" w:hAnsiTheme="minorHAnsi" w:cstheme="minorHAnsi"/>
          <w:sz w:val="20"/>
          <w:szCs w:val="20"/>
        </w:rPr>
      </w:pPr>
    </w:p>
    <w:tbl>
      <w:tblPr>
        <w:tblStyle w:val="Trameclaire-Accent2"/>
        <w:tblW w:w="13433" w:type="dxa"/>
        <w:tblLook w:val="04A0" w:firstRow="1" w:lastRow="0" w:firstColumn="1" w:lastColumn="0" w:noHBand="0" w:noVBand="1"/>
      </w:tblPr>
      <w:tblGrid>
        <w:gridCol w:w="4159"/>
        <w:gridCol w:w="597"/>
        <w:gridCol w:w="714"/>
        <w:gridCol w:w="1080"/>
        <w:gridCol w:w="1080"/>
        <w:gridCol w:w="1080"/>
        <w:gridCol w:w="1080"/>
        <w:gridCol w:w="1080"/>
        <w:gridCol w:w="1080"/>
        <w:gridCol w:w="1483"/>
      </w:tblGrid>
      <w:tr w:rsidR="002E1B1D" w:rsidRPr="002E1B1D" w:rsidTr="002E1B1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9" w:type="dxa"/>
            <w:vAlign w:val="center"/>
          </w:tcPr>
          <w:p w:rsidR="00F70D30" w:rsidRPr="002E1B1D" w:rsidRDefault="00F70D30" w:rsidP="002E1B1D">
            <w:pPr>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Facteurs de risques</w:t>
            </w:r>
          </w:p>
        </w:tc>
        <w:tc>
          <w:tcPr>
            <w:tcW w:w="597"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IAA</w:t>
            </w:r>
          </w:p>
        </w:tc>
        <w:tc>
          <w:tcPr>
            <w:tcW w:w="714"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PHAR</w:t>
            </w:r>
          </w:p>
        </w:tc>
        <w:tc>
          <w:tcPr>
            <w:tcW w:w="1080"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AUTO</w:t>
            </w:r>
          </w:p>
        </w:tc>
        <w:tc>
          <w:tcPr>
            <w:tcW w:w="1080"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IEM</w:t>
            </w:r>
          </w:p>
        </w:tc>
        <w:tc>
          <w:tcPr>
            <w:tcW w:w="1080"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CHIM</w:t>
            </w:r>
          </w:p>
        </w:tc>
        <w:tc>
          <w:tcPr>
            <w:tcW w:w="1080"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COM</w:t>
            </w:r>
          </w:p>
        </w:tc>
        <w:tc>
          <w:tcPr>
            <w:tcW w:w="1080"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TRP</w:t>
            </w:r>
          </w:p>
        </w:tc>
        <w:tc>
          <w:tcPr>
            <w:tcW w:w="1080"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PRL</w:t>
            </w:r>
          </w:p>
        </w:tc>
        <w:tc>
          <w:tcPr>
            <w:tcW w:w="1483" w:type="dxa"/>
            <w:noWrap/>
            <w:vAlign w:val="center"/>
            <w:hideMark/>
          </w:tcPr>
          <w:p w:rsidR="00F70D30" w:rsidRPr="002E1B1D" w:rsidRDefault="00F70D30" w:rsidP="002E1B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Total général</w:t>
            </w:r>
          </w:p>
        </w:tc>
      </w:tr>
      <w:tr w:rsidR="002E1B1D" w:rsidRPr="002E1B1D" w:rsidTr="002E1B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9" w:type="dxa"/>
            <w:vAlign w:val="center"/>
          </w:tcPr>
          <w:p w:rsidR="00F70D30" w:rsidRPr="002E1B1D" w:rsidRDefault="002E1B1D" w:rsidP="002E1B1D">
            <w:pPr>
              <w:rPr>
                <w:rFonts w:asciiTheme="minorHAnsi" w:hAnsiTheme="minorHAnsi" w:cstheme="minorHAnsi"/>
                <w:b w:val="0"/>
                <w:color w:val="auto"/>
                <w:sz w:val="22"/>
                <w:szCs w:val="22"/>
              </w:rPr>
            </w:pPr>
            <w:r>
              <w:rPr>
                <w:rFonts w:asciiTheme="minorHAnsi" w:hAnsiTheme="minorHAnsi" w:cstheme="minorHAnsi"/>
                <w:b w:val="0"/>
                <w:color w:val="auto"/>
                <w:sz w:val="22"/>
                <w:szCs w:val="22"/>
              </w:rPr>
              <w:t>T</w:t>
            </w:r>
            <w:r w:rsidR="00F70D30" w:rsidRPr="002E1B1D">
              <w:rPr>
                <w:rFonts w:asciiTheme="minorHAnsi" w:hAnsiTheme="minorHAnsi" w:cstheme="minorHAnsi"/>
                <w:b w:val="0"/>
                <w:color w:val="auto"/>
                <w:sz w:val="22"/>
                <w:szCs w:val="22"/>
              </w:rPr>
              <w:t>ravail de nuit</w:t>
            </w:r>
          </w:p>
        </w:tc>
        <w:tc>
          <w:tcPr>
            <w:tcW w:w="597"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14%</w:t>
            </w:r>
          </w:p>
        </w:tc>
        <w:tc>
          <w:tcPr>
            <w:tcW w:w="714"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2%</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0%</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0%</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6%</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8%</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35%</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12%</w:t>
            </w:r>
          </w:p>
        </w:tc>
        <w:tc>
          <w:tcPr>
            <w:tcW w:w="1483"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10%</w:t>
            </w:r>
          </w:p>
        </w:tc>
      </w:tr>
      <w:tr w:rsidR="002E1B1D" w:rsidRPr="002E1B1D" w:rsidTr="002E1B1D">
        <w:trPr>
          <w:trHeight w:val="225"/>
        </w:trPr>
        <w:tc>
          <w:tcPr>
            <w:cnfStyle w:val="001000000000" w:firstRow="0" w:lastRow="0" w:firstColumn="1" w:lastColumn="0" w:oddVBand="0" w:evenVBand="0" w:oddHBand="0" w:evenHBand="0" w:firstRowFirstColumn="0" w:firstRowLastColumn="0" w:lastRowFirstColumn="0" w:lastRowLastColumn="0"/>
            <w:tcW w:w="4159" w:type="dxa"/>
            <w:vAlign w:val="center"/>
          </w:tcPr>
          <w:p w:rsidR="00F70D30" w:rsidRPr="002E1B1D" w:rsidRDefault="002E1B1D" w:rsidP="002E1B1D">
            <w:pPr>
              <w:rPr>
                <w:rFonts w:asciiTheme="minorHAnsi" w:hAnsiTheme="minorHAnsi" w:cstheme="minorHAnsi"/>
                <w:b w:val="0"/>
                <w:color w:val="auto"/>
                <w:sz w:val="22"/>
                <w:szCs w:val="22"/>
              </w:rPr>
            </w:pPr>
            <w:r>
              <w:rPr>
                <w:rFonts w:asciiTheme="minorHAnsi" w:hAnsiTheme="minorHAnsi" w:cstheme="minorHAnsi"/>
                <w:b w:val="0"/>
                <w:color w:val="auto"/>
                <w:sz w:val="22"/>
                <w:szCs w:val="22"/>
                <w:shd w:val="clear" w:color="auto" w:fill="FFFFFF"/>
              </w:rPr>
              <w:t>T</w:t>
            </w:r>
            <w:r w:rsidR="00F70D30" w:rsidRPr="002E1B1D">
              <w:rPr>
                <w:rFonts w:asciiTheme="minorHAnsi" w:hAnsiTheme="minorHAnsi" w:cstheme="minorHAnsi"/>
                <w:b w:val="0"/>
                <w:color w:val="auto"/>
                <w:sz w:val="22"/>
                <w:szCs w:val="22"/>
                <w:shd w:val="clear" w:color="auto" w:fill="FFFFFF"/>
              </w:rPr>
              <w:t>ravail en équipes successives alternantes</w:t>
            </w:r>
          </w:p>
        </w:tc>
        <w:tc>
          <w:tcPr>
            <w:tcW w:w="597"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13%</w:t>
            </w:r>
          </w:p>
        </w:tc>
        <w:tc>
          <w:tcPr>
            <w:tcW w:w="714"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4%</w:t>
            </w:r>
          </w:p>
        </w:tc>
        <w:tc>
          <w:tcPr>
            <w:tcW w:w="1080"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6%</w:t>
            </w:r>
          </w:p>
        </w:tc>
        <w:tc>
          <w:tcPr>
            <w:tcW w:w="1080"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2%</w:t>
            </w:r>
          </w:p>
        </w:tc>
        <w:tc>
          <w:tcPr>
            <w:tcW w:w="1080"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4%</w:t>
            </w:r>
          </w:p>
        </w:tc>
        <w:tc>
          <w:tcPr>
            <w:tcW w:w="1080"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13%</w:t>
            </w:r>
          </w:p>
        </w:tc>
        <w:tc>
          <w:tcPr>
            <w:tcW w:w="1080"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3%</w:t>
            </w:r>
          </w:p>
        </w:tc>
        <w:tc>
          <w:tcPr>
            <w:tcW w:w="1080"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8%</w:t>
            </w:r>
          </w:p>
        </w:tc>
        <w:tc>
          <w:tcPr>
            <w:tcW w:w="1483" w:type="dxa"/>
            <w:noWrap/>
            <w:vAlign w:val="center"/>
            <w:hideMark/>
          </w:tcPr>
          <w:p w:rsidR="00F70D30" w:rsidRPr="002E1B1D" w:rsidRDefault="00F70D30" w:rsidP="002E1B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7%</w:t>
            </w:r>
          </w:p>
        </w:tc>
      </w:tr>
      <w:tr w:rsidR="002E1B1D" w:rsidRPr="002E1B1D" w:rsidTr="002E1B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9" w:type="dxa"/>
            <w:vAlign w:val="center"/>
          </w:tcPr>
          <w:p w:rsidR="00F70D30" w:rsidRPr="002E1B1D" w:rsidRDefault="002E1B1D" w:rsidP="002E1B1D">
            <w:pPr>
              <w:rPr>
                <w:rFonts w:asciiTheme="minorHAnsi" w:hAnsiTheme="minorHAnsi" w:cstheme="minorHAnsi"/>
                <w:b w:val="0"/>
                <w:color w:val="auto"/>
                <w:sz w:val="22"/>
                <w:szCs w:val="22"/>
              </w:rPr>
            </w:pPr>
            <w:r w:rsidRPr="002E1B1D">
              <w:rPr>
                <w:rFonts w:asciiTheme="minorHAnsi" w:hAnsiTheme="minorHAnsi" w:cstheme="minorHAnsi"/>
                <w:b w:val="0"/>
                <w:color w:val="auto"/>
                <w:sz w:val="22"/>
                <w:szCs w:val="22"/>
              </w:rPr>
              <w:t>T</w:t>
            </w:r>
            <w:r w:rsidR="00F70D30" w:rsidRPr="002E1B1D">
              <w:rPr>
                <w:rFonts w:asciiTheme="minorHAnsi" w:hAnsiTheme="minorHAnsi" w:cstheme="minorHAnsi"/>
                <w:b w:val="0"/>
                <w:color w:val="auto"/>
                <w:sz w:val="22"/>
                <w:szCs w:val="22"/>
              </w:rPr>
              <w:t>ravail répétitif</w:t>
            </w:r>
          </w:p>
        </w:tc>
        <w:tc>
          <w:tcPr>
            <w:tcW w:w="597"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11%</w:t>
            </w:r>
          </w:p>
        </w:tc>
        <w:tc>
          <w:tcPr>
            <w:tcW w:w="714"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4%</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5%</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7%</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11%</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6%</w:t>
            </w:r>
          </w:p>
        </w:tc>
        <w:tc>
          <w:tcPr>
            <w:tcW w:w="1080"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25%</w:t>
            </w:r>
          </w:p>
        </w:tc>
        <w:tc>
          <w:tcPr>
            <w:tcW w:w="1483" w:type="dxa"/>
            <w:noWrap/>
            <w:vAlign w:val="center"/>
            <w:hideMark/>
          </w:tcPr>
          <w:p w:rsidR="00F70D30" w:rsidRPr="002E1B1D" w:rsidRDefault="00F70D30" w:rsidP="002E1B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E1B1D">
              <w:rPr>
                <w:rFonts w:asciiTheme="minorHAnsi" w:hAnsiTheme="minorHAnsi" w:cstheme="minorHAnsi"/>
                <w:color w:val="auto"/>
                <w:sz w:val="22"/>
                <w:szCs w:val="22"/>
              </w:rPr>
              <w:t>9%</w:t>
            </w:r>
          </w:p>
        </w:tc>
      </w:tr>
    </w:tbl>
    <w:p w:rsidR="00F70D30" w:rsidRDefault="00F70D30" w:rsidP="007E6612">
      <w:pPr>
        <w:jc w:val="both"/>
        <w:rPr>
          <w:rFonts w:ascii="Calibri" w:hAnsi="Calibri" w:cs="Calibri"/>
        </w:rPr>
      </w:pPr>
    </w:p>
    <w:p w:rsidR="00F70D30" w:rsidRDefault="007435DD" w:rsidP="007E6612">
      <w:pPr>
        <w:jc w:val="both"/>
        <w:rPr>
          <w:rFonts w:ascii="Calibri" w:hAnsi="Calibri" w:cs="Calibri"/>
        </w:rPr>
      </w:pPr>
      <w:r>
        <w:rPr>
          <w:rFonts w:ascii="Calibri" w:hAnsi="Calibri" w:cs="Calibri"/>
        </w:rPr>
        <w:t>Le facteur de risque</w:t>
      </w:r>
      <w:r w:rsidR="005F3D96">
        <w:rPr>
          <w:rFonts w:ascii="Calibri" w:hAnsi="Calibri" w:cs="Calibri"/>
        </w:rPr>
        <w:t>s</w:t>
      </w:r>
      <w:r>
        <w:rPr>
          <w:rFonts w:ascii="Calibri" w:hAnsi="Calibri" w:cs="Calibri"/>
        </w:rPr>
        <w:t xml:space="preserve"> le plus souvent cité</w:t>
      </w:r>
      <w:r w:rsidR="005F3D96">
        <w:rPr>
          <w:rFonts w:ascii="Calibri" w:hAnsi="Calibri" w:cs="Calibri"/>
        </w:rPr>
        <w:t xml:space="preserve"> parmi ces quatre premiers facteurs</w:t>
      </w:r>
      <w:r>
        <w:rPr>
          <w:rFonts w:ascii="Calibri" w:hAnsi="Calibri" w:cs="Calibri"/>
        </w:rPr>
        <w:t xml:space="preserve"> est le travail de nuit</w:t>
      </w:r>
      <w:r w:rsidR="005F3D96">
        <w:rPr>
          <w:rFonts w:ascii="Calibri" w:hAnsi="Calibri" w:cs="Calibri"/>
        </w:rPr>
        <w:t xml:space="preserve"> (10% du personnel logistique serait concerné), suivi de près par le travail répétitif (9% des salariés de la logistique). </w:t>
      </w:r>
    </w:p>
    <w:p w:rsidR="00BD1871" w:rsidRDefault="00BD1871" w:rsidP="007E6612">
      <w:pPr>
        <w:jc w:val="both"/>
        <w:rPr>
          <w:rFonts w:ascii="Calibri" w:hAnsi="Calibri" w:cs="Calibri"/>
        </w:rPr>
      </w:pPr>
    </w:p>
    <w:p w:rsidR="007428D0" w:rsidRPr="00F03BB6" w:rsidRDefault="00F03BB6" w:rsidP="00F03BB6">
      <w:pPr>
        <w:rPr>
          <w:rFonts w:ascii="Arial Black" w:hAnsi="Arial Black" w:cs="Calibri"/>
          <w:b/>
          <w:bCs/>
          <w:color w:val="632423"/>
        </w:rPr>
      </w:pPr>
      <w:r w:rsidRPr="00F03BB6">
        <w:rPr>
          <w:rFonts w:ascii="Arial Black" w:hAnsi="Arial Black" w:cs="Calibri"/>
          <w:b/>
          <w:bCs/>
          <w:color w:val="632423"/>
        </w:rPr>
        <w:t xml:space="preserve">Les efforts </w:t>
      </w:r>
      <w:r>
        <w:rPr>
          <w:rFonts w:ascii="Arial Black" w:hAnsi="Arial Black" w:cs="Calibri"/>
          <w:b/>
          <w:bCs/>
          <w:color w:val="632423"/>
        </w:rPr>
        <w:t xml:space="preserve">pour limiter les risques sont </w:t>
      </w:r>
      <w:r w:rsidR="007435DD">
        <w:rPr>
          <w:rFonts w:ascii="Arial Black" w:hAnsi="Arial Black" w:cs="Calibri"/>
          <w:b/>
          <w:bCs/>
          <w:color w:val="632423"/>
        </w:rPr>
        <w:t>dirigés vers</w:t>
      </w:r>
      <w:r>
        <w:rPr>
          <w:rFonts w:ascii="Arial Black" w:hAnsi="Arial Black" w:cs="Calibri"/>
          <w:b/>
          <w:bCs/>
          <w:color w:val="632423"/>
        </w:rPr>
        <w:t xml:space="preserve"> la manutention des charges et les postures </w:t>
      </w:r>
    </w:p>
    <w:p w:rsidR="007428D0" w:rsidRDefault="007428D0" w:rsidP="007E6612">
      <w:pPr>
        <w:jc w:val="both"/>
        <w:rPr>
          <w:rFonts w:ascii="Calibri" w:hAnsi="Calibri" w:cs="Calibri"/>
        </w:rPr>
      </w:pPr>
    </w:p>
    <w:p w:rsidR="007428D0" w:rsidRPr="00F03BB6" w:rsidRDefault="007428D0" w:rsidP="00F03BB6">
      <w:pPr>
        <w:jc w:val="center"/>
        <w:rPr>
          <w:rFonts w:ascii="Calibri" w:hAnsi="Calibri" w:cs="Calibri"/>
          <w:b/>
          <w:bCs/>
        </w:rPr>
      </w:pPr>
      <w:r w:rsidRPr="00F03BB6">
        <w:rPr>
          <w:rFonts w:ascii="Calibri" w:hAnsi="Calibri" w:cs="Calibri"/>
          <w:b/>
          <w:bCs/>
        </w:rPr>
        <w:t>Pourcentage d’établissements prévoyant de mettre en place des mesures pour limiter les facteurs de risque auprès du personnel logistique</w:t>
      </w:r>
    </w:p>
    <w:p w:rsidR="007428D0" w:rsidRDefault="007428D0" w:rsidP="007E6612">
      <w:pPr>
        <w:jc w:val="both"/>
        <w:rPr>
          <w:rFonts w:ascii="Calibri" w:hAnsi="Calibri" w:cs="Calibri"/>
        </w:rPr>
      </w:pPr>
    </w:p>
    <w:p w:rsidR="00DE404E" w:rsidRDefault="007428D0" w:rsidP="007E6612">
      <w:pPr>
        <w:jc w:val="both"/>
        <w:rPr>
          <w:rFonts w:ascii="Calibri" w:hAnsi="Calibri" w:cs="Calibri"/>
        </w:rPr>
      </w:pPr>
      <w:r w:rsidRPr="002436B1">
        <w:rPr>
          <w:rFonts w:ascii="Calibri" w:hAnsi="Calibri" w:cs="Calibri"/>
          <w:i/>
          <w:iCs/>
        </w:rPr>
        <w:t>Etablissements de 100 salariés et plus</w:t>
      </w:r>
    </w:p>
    <w:tbl>
      <w:tblPr>
        <w:tblStyle w:val="Trameclaire-Accent1"/>
        <w:tblW w:w="8704" w:type="dxa"/>
        <w:tblLook w:val="04A0" w:firstRow="1" w:lastRow="0" w:firstColumn="1" w:lastColumn="0" w:noHBand="0" w:noVBand="1"/>
      </w:tblPr>
      <w:tblGrid>
        <w:gridCol w:w="1088"/>
        <w:gridCol w:w="1088"/>
        <w:gridCol w:w="1088"/>
        <w:gridCol w:w="1088"/>
        <w:gridCol w:w="1088"/>
        <w:gridCol w:w="1088"/>
        <w:gridCol w:w="1088"/>
        <w:gridCol w:w="1088"/>
      </w:tblGrid>
      <w:tr w:rsidR="007428D0" w:rsidRPr="002E1B1D" w:rsidTr="002E1B1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88" w:type="dxa"/>
            <w:noWrap/>
            <w:vAlign w:val="center"/>
            <w:hideMark/>
          </w:tcPr>
          <w:p w:rsidR="007428D0" w:rsidRPr="002E1B1D" w:rsidRDefault="007428D0" w:rsidP="002E1B1D">
            <w:pPr>
              <w:jc w:val="center"/>
              <w:rPr>
                <w:rFonts w:ascii="Calibri" w:hAnsi="Calibri" w:cs="Calibri"/>
                <w:b w:val="0"/>
                <w:color w:val="000000"/>
                <w:sz w:val="22"/>
                <w:szCs w:val="22"/>
              </w:rPr>
            </w:pPr>
            <w:r w:rsidRPr="002E1B1D">
              <w:rPr>
                <w:rFonts w:ascii="Calibri" w:hAnsi="Calibri" w:cs="Calibri"/>
                <w:b w:val="0"/>
                <w:color w:val="000000"/>
                <w:sz w:val="22"/>
                <w:szCs w:val="22"/>
              </w:rPr>
              <w:t>IAA</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PHAR</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AUTO</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IEM</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CHIM</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COM</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TRP</w:t>
            </w:r>
          </w:p>
        </w:tc>
        <w:tc>
          <w:tcPr>
            <w:tcW w:w="1088"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Total</w:t>
            </w:r>
          </w:p>
        </w:tc>
      </w:tr>
      <w:tr w:rsidR="007428D0" w:rsidRPr="002E1B1D" w:rsidTr="002E1B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88" w:type="dxa"/>
            <w:noWrap/>
            <w:vAlign w:val="center"/>
            <w:hideMark/>
          </w:tcPr>
          <w:p w:rsidR="007428D0" w:rsidRPr="002E1B1D" w:rsidRDefault="007428D0" w:rsidP="002E1B1D">
            <w:pPr>
              <w:jc w:val="center"/>
              <w:rPr>
                <w:rFonts w:ascii="Calibri" w:hAnsi="Calibri" w:cs="Calibri"/>
                <w:b w:val="0"/>
                <w:color w:val="000000"/>
                <w:sz w:val="22"/>
                <w:szCs w:val="22"/>
              </w:rPr>
            </w:pPr>
            <w:r w:rsidRPr="002E1B1D">
              <w:rPr>
                <w:rFonts w:ascii="Calibri" w:hAnsi="Calibri" w:cs="Calibri"/>
                <w:b w:val="0"/>
                <w:color w:val="000000"/>
                <w:sz w:val="22"/>
                <w:szCs w:val="22"/>
              </w:rPr>
              <w:t>64%</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59%</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42%</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61%</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57%</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63%</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48%</w:t>
            </w:r>
          </w:p>
        </w:tc>
        <w:tc>
          <w:tcPr>
            <w:tcW w:w="1088"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58%</w:t>
            </w:r>
          </w:p>
        </w:tc>
      </w:tr>
    </w:tbl>
    <w:p w:rsidR="00DE404E" w:rsidRDefault="00DE404E" w:rsidP="007E6612">
      <w:pPr>
        <w:jc w:val="both"/>
        <w:rPr>
          <w:rFonts w:ascii="Calibri" w:hAnsi="Calibri" w:cs="Calibri"/>
        </w:rPr>
      </w:pPr>
    </w:p>
    <w:p w:rsidR="007428D0" w:rsidRDefault="007428D0" w:rsidP="007E6612">
      <w:pPr>
        <w:jc w:val="both"/>
        <w:rPr>
          <w:rFonts w:ascii="Calibri" w:hAnsi="Calibri" w:cs="Calibri"/>
        </w:rPr>
      </w:pPr>
      <w:r w:rsidRPr="002436B1">
        <w:rPr>
          <w:rFonts w:ascii="Calibri" w:hAnsi="Calibri" w:cs="Calibri"/>
          <w:i/>
          <w:iCs/>
        </w:rPr>
        <w:t>Etablissements de 50 à 99 salariés</w:t>
      </w:r>
    </w:p>
    <w:tbl>
      <w:tblPr>
        <w:tblStyle w:val="Trameclaire-Accent1"/>
        <w:tblW w:w="3288" w:type="dxa"/>
        <w:tblLook w:val="04A0" w:firstRow="1" w:lastRow="0" w:firstColumn="1" w:lastColumn="0" w:noHBand="0" w:noVBand="1"/>
      </w:tblPr>
      <w:tblGrid>
        <w:gridCol w:w="1096"/>
        <w:gridCol w:w="1096"/>
        <w:gridCol w:w="1096"/>
      </w:tblGrid>
      <w:tr w:rsidR="007428D0" w:rsidRPr="002E1B1D" w:rsidTr="002E1B1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rsidR="007428D0" w:rsidRPr="002E1B1D" w:rsidRDefault="007428D0" w:rsidP="002E1B1D">
            <w:pPr>
              <w:jc w:val="center"/>
              <w:rPr>
                <w:rFonts w:ascii="Calibri" w:hAnsi="Calibri" w:cs="Calibri"/>
                <w:b w:val="0"/>
                <w:color w:val="000000"/>
                <w:sz w:val="22"/>
                <w:szCs w:val="22"/>
              </w:rPr>
            </w:pPr>
            <w:r w:rsidRPr="002E1B1D">
              <w:rPr>
                <w:rFonts w:ascii="Calibri" w:hAnsi="Calibri" w:cs="Calibri"/>
                <w:b w:val="0"/>
                <w:color w:val="000000"/>
                <w:sz w:val="22"/>
                <w:szCs w:val="22"/>
              </w:rPr>
              <w:t>COM</w:t>
            </w:r>
          </w:p>
        </w:tc>
        <w:tc>
          <w:tcPr>
            <w:tcW w:w="1096"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TRP</w:t>
            </w:r>
          </w:p>
        </w:tc>
        <w:tc>
          <w:tcPr>
            <w:tcW w:w="1096" w:type="dxa"/>
            <w:noWrap/>
            <w:vAlign w:val="center"/>
            <w:hideMark/>
          </w:tcPr>
          <w:p w:rsidR="007428D0" w:rsidRPr="002E1B1D" w:rsidRDefault="007428D0" w:rsidP="002E1B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2E1B1D">
              <w:rPr>
                <w:rFonts w:ascii="Calibri" w:hAnsi="Calibri" w:cs="Calibri"/>
                <w:b w:val="0"/>
                <w:color w:val="000000"/>
                <w:sz w:val="22"/>
                <w:szCs w:val="22"/>
              </w:rPr>
              <w:t>Total</w:t>
            </w:r>
          </w:p>
        </w:tc>
      </w:tr>
      <w:tr w:rsidR="007428D0" w:rsidRPr="002E1B1D" w:rsidTr="002E1B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rsidR="007428D0" w:rsidRPr="002E1B1D" w:rsidRDefault="007428D0" w:rsidP="002E1B1D">
            <w:pPr>
              <w:jc w:val="center"/>
              <w:rPr>
                <w:rFonts w:ascii="Calibri" w:hAnsi="Calibri" w:cs="Calibri"/>
                <w:b w:val="0"/>
                <w:color w:val="000000"/>
                <w:sz w:val="22"/>
                <w:szCs w:val="22"/>
              </w:rPr>
            </w:pPr>
            <w:r w:rsidRPr="002E1B1D">
              <w:rPr>
                <w:rFonts w:ascii="Calibri" w:hAnsi="Calibri" w:cs="Calibri"/>
                <w:b w:val="0"/>
                <w:color w:val="000000"/>
                <w:sz w:val="22"/>
                <w:szCs w:val="22"/>
              </w:rPr>
              <w:t>46%</w:t>
            </w:r>
          </w:p>
        </w:tc>
        <w:tc>
          <w:tcPr>
            <w:tcW w:w="1096"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42%</w:t>
            </w:r>
          </w:p>
        </w:tc>
        <w:tc>
          <w:tcPr>
            <w:tcW w:w="1096" w:type="dxa"/>
            <w:noWrap/>
            <w:vAlign w:val="center"/>
            <w:hideMark/>
          </w:tcPr>
          <w:p w:rsidR="007428D0" w:rsidRPr="002E1B1D" w:rsidRDefault="007428D0" w:rsidP="002E1B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E1B1D">
              <w:rPr>
                <w:rFonts w:ascii="Calibri" w:hAnsi="Calibri" w:cs="Calibri"/>
                <w:color w:val="000000"/>
                <w:sz w:val="22"/>
                <w:szCs w:val="22"/>
              </w:rPr>
              <w:t>44%</w:t>
            </w:r>
          </w:p>
        </w:tc>
      </w:tr>
    </w:tbl>
    <w:p w:rsidR="00DE404E" w:rsidRDefault="00DE404E" w:rsidP="007E6612">
      <w:pPr>
        <w:jc w:val="both"/>
        <w:rPr>
          <w:rFonts w:ascii="Calibri" w:hAnsi="Calibri" w:cs="Calibri"/>
        </w:rPr>
      </w:pPr>
    </w:p>
    <w:p w:rsidR="00DE404E" w:rsidRDefault="007428D0" w:rsidP="007E6612">
      <w:pPr>
        <w:jc w:val="both"/>
        <w:rPr>
          <w:rFonts w:ascii="Calibri" w:hAnsi="Calibri" w:cs="Calibri"/>
        </w:rPr>
      </w:pPr>
      <w:r w:rsidRPr="007428D0">
        <w:rPr>
          <w:rFonts w:ascii="Calibri" w:hAnsi="Calibri" w:cs="Calibri"/>
        </w:rPr>
        <w:t>58% des établissements de 100 salariés et plus, et 44% des établissements de 50 à 99 salariés, prévoient de mettre en place des mesures individuelles ou collectives dans l’entreprise pour limiter les facteurs de risque</w:t>
      </w:r>
      <w:r w:rsidR="00496A14">
        <w:rPr>
          <w:rFonts w:ascii="Calibri" w:hAnsi="Calibri" w:cs="Calibri"/>
        </w:rPr>
        <w:t>s</w:t>
      </w:r>
      <w:r w:rsidRPr="007428D0">
        <w:rPr>
          <w:rFonts w:ascii="Calibri" w:hAnsi="Calibri" w:cs="Calibri"/>
        </w:rPr>
        <w:t xml:space="preserve"> auprès du personnel logistique.</w:t>
      </w:r>
    </w:p>
    <w:p w:rsidR="00DE404E" w:rsidRDefault="00DE404E" w:rsidP="007E6612">
      <w:pPr>
        <w:jc w:val="both"/>
        <w:rPr>
          <w:rFonts w:ascii="Calibri" w:hAnsi="Calibri" w:cs="Calibri"/>
        </w:rPr>
      </w:pPr>
    </w:p>
    <w:p w:rsidR="00F03BB6" w:rsidRPr="00F03BB6" w:rsidRDefault="00F03BB6" w:rsidP="00F03BB6">
      <w:pPr>
        <w:jc w:val="center"/>
        <w:rPr>
          <w:rFonts w:ascii="Calibri" w:hAnsi="Calibri" w:cs="Calibri"/>
          <w:b/>
          <w:bCs/>
        </w:rPr>
      </w:pPr>
      <w:r w:rsidRPr="00F03BB6">
        <w:rPr>
          <w:rFonts w:ascii="Calibri" w:hAnsi="Calibri" w:cs="Calibri"/>
          <w:b/>
          <w:bCs/>
        </w:rPr>
        <w:t>Risques ciblés par les mesures envisagées (en % d’établissements)</w:t>
      </w:r>
    </w:p>
    <w:p w:rsidR="00F03BB6" w:rsidRDefault="00F03BB6" w:rsidP="007E6612">
      <w:pPr>
        <w:jc w:val="both"/>
        <w:rPr>
          <w:rFonts w:ascii="Calibri" w:hAnsi="Calibri" w:cs="Calibri"/>
        </w:rPr>
      </w:pPr>
    </w:p>
    <w:tbl>
      <w:tblPr>
        <w:tblStyle w:val="Trameclaire-Accent1"/>
        <w:tblW w:w="7340" w:type="dxa"/>
        <w:tblLook w:val="0480" w:firstRow="0" w:lastRow="0" w:firstColumn="1" w:lastColumn="0" w:noHBand="0" w:noVBand="1"/>
      </w:tblPr>
      <w:tblGrid>
        <w:gridCol w:w="6260"/>
        <w:gridCol w:w="1080"/>
      </w:tblGrid>
      <w:tr w:rsidR="00F03BB6" w:rsidRPr="00F72F2D" w:rsidTr="00F72F2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La manutention manuelle de charges </w:t>
            </w:r>
          </w:p>
        </w:tc>
        <w:tc>
          <w:tcPr>
            <w:tcW w:w="1080" w:type="dxa"/>
            <w:noWrap/>
            <w:hideMark/>
          </w:tcPr>
          <w:p w:rsidR="00F03BB6" w:rsidRPr="00F72F2D" w:rsidRDefault="00F03BB6"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45%</w:t>
            </w:r>
          </w:p>
        </w:tc>
      </w:tr>
      <w:tr w:rsidR="00F03BB6" w:rsidRPr="00F72F2D" w:rsidTr="00F72F2D">
        <w:trPr>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Les postures pénibles ou positions forcées des articulations </w:t>
            </w:r>
          </w:p>
        </w:tc>
        <w:tc>
          <w:tcPr>
            <w:tcW w:w="1080" w:type="dxa"/>
            <w:noWrap/>
            <w:hideMark/>
          </w:tcPr>
          <w:p w:rsidR="00F03BB6" w:rsidRPr="00F72F2D" w:rsidRDefault="00F03BB6"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40%</w:t>
            </w:r>
          </w:p>
        </w:tc>
      </w:tr>
      <w:tr w:rsidR="00F03BB6" w:rsidRPr="00F72F2D" w:rsidTr="00F72F2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Les vibrations mécaniques </w:t>
            </w:r>
          </w:p>
        </w:tc>
        <w:tc>
          <w:tcPr>
            <w:tcW w:w="1080" w:type="dxa"/>
            <w:noWrap/>
            <w:hideMark/>
          </w:tcPr>
          <w:p w:rsidR="00F03BB6" w:rsidRPr="00F72F2D" w:rsidRDefault="00F03BB6"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7%</w:t>
            </w:r>
          </w:p>
        </w:tc>
      </w:tr>
      <w:tr w:rsidR="00F03BB6" w:rsidRPr="00F72F2D" w:rsidTr="00F72F2D">
        <w:trPr>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Les activités exercées en milieu hyperbare (hautes pressions) </w:t>
            </w:r>
          </w:p>
        </w:tc>
        <w:tc>
          <w:tcPr>
            <w:tcW w:w="1080" w:type="dxa"/>
            <w:noWrap/>
            <w:hideMark/>
          </w:tcPr>
          <w:p w:rsidR="00F03BB6" w:rsidRPr="00F72F2D" w:rsidRDefault="00F03BB6"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0%</w:t>
            </w:r>
          </w:p>
        </w:tc>
      </w:tr>
      <w:tr w:rsidR="00F03BB6" w:rsidRPr="00F72F2D" w:rsidTr="00F72F2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Les agents chimiques dangereux, y compris poussières et fumées </w:t>
            </w:r>
          </w:p>
        </w:tc>
        <w:tc>
          <w:tcPr>
            <w:tcW w:w="1080" w:type="dxa"/>
            <w:noWrap/>
            <w:hideMark/>
          </w:tcPr>
          <w:p w:rsidR="00F03BB6" w:rsidRPr="00F72F2D" w:rsidRDefault="00F03BB6"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5%</w:t>
            </w:r>
          </w:p>
        </w:tc>
      </w:tr>
      <w:tr w:rsidR="00F03BB6" w:rsidRPr="00F72F2D" w:rsidTr="00F72F2D">
        <w:trPr>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Les températures extrêmes </w:t>
            </w:r>
          </w:p>
        </w:tc>
        <w:tc>
          <w:tcPr>
            <w:tcW w:w="1080" w:type="dxa"/>
            <w:noWrap/>
            <w:hideMark/>
          </w:tcPr>
          <w:p w:rsidR="00F03BB6" w:rsidRPr="00F72F2D" w:rsidRDefault="00F03BB6"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3%</w:t>
            </w:r>
          </w:p>
        </w:tc>
      </w:tr>
      <w:tr w:rsidR="00F03BB6" w:rsidRPr="00F72F2D" w:rsidTr="00F72F2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 bruit </w:t>
            </w:r>
          </w:p>
        </w:tc>
        <w:tc>
          <w:tcPr>
            <w:tcW w:w="1080" w:type="dxa"/>
            <w:noWrap/>
            <w:hideMark/>
          </w:tcPr>
          <w:p w:rsidR="00F03BB6" w:rsidRPr="00F72F2D" w:rsidRDefault="00F03BB6"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10%</w:t>
            </w:r>
          </w:p>
        </w:tc>
      </w:tr>
      <w:tr w:rsidR="00F03BB6" w:rsidRPr="00F72F2D" w:rsidTr="00F72F2D">
        <w:trPr>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 travail de nuit </w:t>
            </w:r>
          </w:p>
        </w:tc>
        <w:tc>
          <w:tcPr>
            <w:tcW w:w="1080" w:type="dxa"/>
            <w:noWrap/>
            <w:hideMark/>
          </w:tcPr>
          <w:p w:rsidR="00F03BB6" w:rsidRPr="00F72F2D" w:rsidRDefault="00F03BB6"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10%</w:t>
            </w:r>
          </w:p>
        </w:tc>
      </w:tr>
      <w:tr w:rsidR="00F03BB6" w:rsidRPr="00F72F2D" w:rsidTr="00F72F2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 travail en équipes successives alternantes </w:t>
            </w:r>
          </w:p>
        </w:tc>
        <w:tc>
          <w:tcPr>
            <w:tcW w:w="1080" w:type="dxa"/>
            <w:noWrap/>
            <w:hideMark/>
          </w:tcPr>
          <w:p w:rsidR="00F03BB6" w:rsidRPr="00F72F2D" w:rsidRDefault="00F03BB6"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9%</w:t>
            </w:r>
          </w:p>
        </w:tc>
      </w:tr>
      <w:tr w:rsidR="00F03BB6" w:rsidRPr="00F72F2D" w:rsidTr="00F72F2D">
        <w:trPr>
          <w:trHeight w:val="225"/>
        </w:trPr>
        <w:tc>
          <w:tcPr>
            <w:cnfStyle w:val="001000000000" w:firstRow="0" w:lastRow="0" w:firstColumn="1" w:lastColumn="0" w:oddVBand="0" w:evenVBand="0" w:oddHBand="0" w:evenHBand="0" w:firstRowFirstColumn="0" w:firstRowLastColumn="0" w:lastRowFirstColumn="0" w:lastRowLastColumn="0"/>
            <w:tcW w:w="6260" w:type="dxa"/>
            <w:noWrap/>
            <w:hideMark/>
          </w:tcPr>
          <w:p w:rsidR="00F03BB6" w:rsidRPr="00F72F2D" w:rsidRDefault="00F03BB6">
            <w:pPr>
              <w:rPr>
                <w:rFonts w:ascii="Calibri" w:hAnsi="Calibri" w:cs="Calibri"/>
                <w:b w:val="0"/>
                <w:color w:val="000000"/>
                <w:sz w:val="22"/>
                <w:szCs w:val="22"/>
              </w:rPr>
            </w:pPr>
            <w:r w:rsidRPr="00F72F2D">
              <w:rPr>
                <w:rFonts w:ascii="Calibri" w:hAnsi="Calibri" w:cs="Calibri"/>
                <w:b w:val="0"/>
                <w:color w:val="000000"/>
                <w:sz w:val="22"/>
                <w:szCs w:val="22"/>
              </w:rPr>
              <w:t xml:space="preserve">Le travail répétitif </w:t>
            </w:r>
          </w:p>
        </w:tc>
        <w:tc>
          <w:tcPr>
            <w:tcW w:w="1080" w:type="dxa"/>
            <w:noWrap/>
            <w:hideMark/>
          </w:tcPr>
          <w:p w:rsidR="00F03BB6" w:rsidRPr="00F72F2D" w:rsidRDefault="00F03BB6"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72F2D">
              <w:rPr>
                <w:rFonts w:ascii="Calibri" w:hAnsi="Calibri" w:cs="Calibri"/>
                <w:color w:val="000000"/>
                <w:sz w:val="22"/>
                <w:szCs w:val="22"/>
              </w:rPr>
              <w:t>12%</w:t>
            </w:r>
          </w:p>
        </w:tc>
      </w:tr>
    </w:tbl>
    <w:p w:rsidR="007428D0" w:rsidRDefault="007428D0" w:rsidP="007E6612">
      <w:pPr>
        <w:jc w:val="both"/>
        <w:rPr>
          <w:rFonts w:ascii="Calibri" w:hAnsi="Calibri" w:cs="Calibri"/>
        </w:rPr>
      </w:pPr>
    </w:p>
    <w:p w:rsidR="00496A14" w:rsidRDefault="00496A14" w:rsidP="007E6612">
      <w:pPr>
        <w:jc w:val="both"/>
        <w:rPr>
          <w:rFonts w:ascii="Calibri" w:hAnsi="Calibri" w:cs="Calibri"/>
        </w:rPr>
      </w:pPr>
      <w:r>
        <w:rPr>
          <w:rFonts w:ascii="Calibri" w:hAnsi="Calibri" w:cs="Calibri"/>
        </w:rPr>
        <w:t>45% des sondés envisagent de limiter les risques professionnels auxquels sont exposés le personnel logistique en agissant sur la manutention manuelle de charges</w:t>
      </w:r>
      <w:r w:rsidR="00E85034">
        <w:rPr>
          <w:rFonts w:ascii="Calibri" w:hAnsi="Calibri" w:cs="Calibri"/>
        </w:rPr>
        <w:t xml:space="preserve"> (achat de nouveaux équipements plus adaptés, aménagement des postes, diminution du poids des cartons, rotation des équipes…)</w:t>
      </w:r>
      <w:r>
        <w:rPr>
          <w:rFonts w:ascii="Calibri" w:hAnsi="Calibri" w:cs="Calibri"/>
        </w:rPr>
        <w:t>, et 40% en travaillant sur les postures pénibles ou positions forcées des articulations</w:t>
      </w:r>
      <w:r w:rsidR="00E85034">
        <w:rPr>
          <w:rFonts w:ascii="Calibri" w:hAnsi="Calibri" w:cs="Calibri"/>
        </w:rPr>
        <w:t xml:space="preserve"> (surtout des formations gestes et postures)</w:t>
      </w:r>
      <w:r>
        <w:rPr>
          <w:rFonts w:ascii="Calibri" w:hAnsi="Calibri" w:cs="Calibri"/>
        </w:rPr>
        <w:t xml:space="preserve">. </w:t>
      </w:r>
    </w:p>
    <w:p w:rsidR="00496A14" w:rsidRDefault="00496A14" w:rsidP="007E6612">
      <w:pPr>
        <w:jc w:val="both"/>
        <w:rPr>
          <w:rFonts w:ascii="Calibri" w:hAnsi="Calibri" w:cs="Calibri"/>
        </w:rPr>
      </w:pPr>
    </w:p>
    <w:p w:rsidR="007428D0" w:rsidRDefault="00496A14" w:rsidP="007E6612">
      <w:pPr>
        <w:jc w:val="both"/>
        <w:rPr>
          <w:rFonts w:ascii="Calibri" w:hAnsi="Calibri" w:cs="Calibri"/>
        </w:rPr>
      </w:pPr>
      <w:r>
        <w:rPr>
          <w:rFonts w:ascii="Calibri" w:hAnsi="Calibri" w:cs="Calibri"/>
        </w:rPr>
        <w:t>12% évoquent des actions pour limiter les risques liés au travail répétitif</w:t>
      </w:r>
      <w:r w:rsidR="00E85034">
        <w:rPr>
          <w:rFonts w:ascii="Calibri" w:hAnsi="Calibri" w:cs="Calibri"/>
        </w:rPr>
        <w:t>,</w:t>
      </w:r>
      <w:r>
        <w:rPr>
          <w:rFonts w:ascii="Calibri" w:hAnsi="Calibri" w:cs="Calibri"/>
        </w:rPr>
        <w:t xml:space="preserve"> et 10% pour </w:t>
      </w:r>
      <w:r w:rsidR="00E85034">
        <w:rPr>
          <w:rFonts w:ascii="Calibri" w:hAnsi="Calibri" w:cs="Calibri"/>
        </w:rPr>
        <w:t xml:space="preserve">réduire les risques induits par </w:t>
      </w:r>
      <w:r>
        <w:rPr>
          <w:rFonts w:ascii="Calibri" w:hAnsi="Calibri" w:cs="Calibri"/>
        </w:rPr>
        <w:t xml:space="preserve">le travail de nuit ou le bruit. </w:t>
      </w:r>
    </w:p>
    <w:p w:rsidR="00F03BB6" w:rsidRDefault="00F03BB6" w:rsidP="007E6612">
      <w:pPr>
        <w:jc w:val="both"/>
        <w:rPr>
          <w:rFonts w:ascii="Calibri" w:hAnsi="Calibri" w:cs="Calibri"/>
        </w:rPr>
      </w:pPr>
    </w:p>
    <w:p w:rsidR="007428D0" w:rsidRDefault="007428D0" w:rsidP="007E6612">
      <w:pPr>
        <w:jc w:val="both"/>
        <w:rPr>
          <w:rFonts w:ascii="Calibri" w:hAnsi="Calibri" w:cs="Calibri"/>
        </w:rPr>
      </w:pPr>
    </w:p>
    <w:p w:rsidR="00193833" w:rsidRPr="0077225A" w:rsidRDefault="0077225A" w:rsidP="0077225A">
      <w:pPr>
        <w:rPr>
          <w:rFonts w:ascii="Arial Black" w:hAnsi="Arial Black" w:cs="Calibri"/>
          <w:b/>
          <w:bCs/>
          <w:color w:val="632423"/>
        </w:rPr>
      </w:pPr>
      <w:r w:rsidRPr="0077225A">
        <w:rPr>
          <w:rFonts w:ascii="Arial Black" w:hAnsi="Arial Black" w:cs="Calibri"/>
          <w:b/>
          <w:bCs/>
          <w:color w:val="632423"/>
        </w:rPr>
        <w:t>La prévention des risques professionnels nécessite des personnes formées à ce</w:t>
      </w:r>
      <w:r>
        <w:rPr>
          <w:rFonts w:ascii="Arial Black" w:hAnsi="Arial Black" w:cs="Calibri"/>
          <w:b/>
          <w:bCs/>
          <w:color w:val="632423"/>
        </w:rPr>
        <w:t>t enjeu</w:t>
      </w:r>
    </w:p>
    <w:p w:rsidR="00193833" w:rsidRDefault="00193833" w:rsidP="007E6612">
      <w:pPr>
        <w:jc w:val="both"/>
        <w:rPr>
          <w:rFonts w:ascii="Calibri" w:hAnsi="Calibri" w:cs="Calibri"/>
        </w:rPr>
      </w:pPr>
    </w:p>
    <w:p w:rsidR="00193833" w:rsidRPr="002436B1" w:rsidRDefault="00193833" w:rsidP="00193833">
      <w:pPr>
        <w:jc w:val="center"/>
        <w:rPr>
          <w:rFonts w:ascii="Calibri" w:hAnsi="Calibri" w:cs="Calibri"/>
          <w:b/>
          <w:bCs/>
        </w:rPr>
      </w:pPr>
      <w:r w:rsidRPr="002436B1">
        <w:rPr>
          <w:rFonts w:ascii="Calibri" w:hAnsi="Calibri" w:cs="Calibri"/>
          <w:b/>
          <w:bCs/>
        </w:rPr>
        <w:t xml:space="preserve">Pourcentage d’établissements </w:t>
      </w:r>
      <w:r>
        <w:rPr>
          <w:rFonts w:ascii="Calibri" w:hAnsi="Calibri" w:cs="Calibri"/>
          <w:b/>
          <w:bCs/>
        </w:rPr>
        <w:t xml:space="preserve">employant </w:t>
      </w:r>
      <w:r w:rsidRPr="00193833">
        <w:rPr>
          <w:rFonts w:ascii="Calibri" w:hAnsi="Calibri" w:cs="Calibri"/>
          <w:b/>
          <w:bCs/>
        </w:rPr>
        <w:t xml:space="preserve">une ou </w:t>
      </w:r>
      <w:r w:rsidR="0077225A">
        <w:rPr>
          <w:rFonts w:ascii="Calibri" w:hAnsi="Calibri" w:cs="Calibri"/>
          <w:b/>
          <w:bCs/>
        </w:rPr>
        <w:t>plusieurs</w:t>
      </w:r>
      <w:r w:rsidRPr="00193833">
        <w:rPr>
          <w:rFonts w:ascii="Calibri" w:hAnsi="Calibri" w:cs="Calibri"/>
          <w:b/>
          <w:bCs/>
        </w:rPr>
        <w:t xml:space="preserve"> personnes à la prévention des risques professionnels</w:t>
      </w:r>
    </w:p>
    <w:p w:rsidR="004074DA" w:rsidRDefault="004074DA" w:rsidP="007E6612">
      <w:pPr>
        <w:jc w:val="both"/>
        <w:rPr>
          <w:rFonts w:ascii="Calibri" w:hAnsi="Calibri" w:cs="Calibri"/>
        </w:rPr>
      </w:pPr>
    </w:p>
    <w:p w:rsidR="004074DA" w:rsidRDefault="00193833" w:rsidP="007E6612">
      <w:pPr>
        <w:jc w:val="both"/>
        <w:rPr>
          <w:rFonts w:ascii="Calibri" w:hAnsi="Calibri" w:cs="Calibri"/>
        </w:rPr>
      </w:pPr>
      <w:r w:rsidRPr="002436B1">
        <w:rPr>
          <w:rFonts w:ascii="Calibri" w:hAnsi="Calibri" w:cs="Calibri"/>
          <w:i/>
          <w:iCs/>
        </w:rPr>
        <w:t>Etablissements de 100 salariés et plus</w:t>
      </w:r>
    </w:p>
    <w:tbl>
      <w:tblPr>
        <w:tblStyle w:val="Trameclaire-Accent3"/>
        <w:tblW w:w="14120" w:type="dxa"/>
        <w:tblLook w:val="04A0" w:firstRow="1" w:lastRow="0" w:firstColumn="1" w:lastColumn="0" w:noHBand="0" w:noVBand="1"/>
      </w:tblPr>
      <w:tblGrid>
        <w:gridCol w:w="5480"/>
        <w:gridCol w:w="1080"/>
        <w:gridCol w:w="1080"/>
        <w:gridCol w:w="1080"/>
        <w:gridCol w:w="1080"/>
        <w:gridCol w:w="1080"/>
        <w:gridCol w:w="1080"/>
        <w:gridCol w:w="1080"/>
        <w:gridCol w:w="1080"/>
      </w:tblGrid>
      <w:tr w:rsidR="00193833" w:rsidRPr="00754DCF" w:rsidTr="00754DC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80" w:type="dxa"/>
            <w:noWrap/>
            <w:hideMark/>
          </w:tcPr>
          <w:p w:rsidR="00193833" w:rsidRPr="00754DCF" w:rsidRDefault="00193833">
            <w:pPr>
              <w:rPr>
                <w:rFonts w:ascii="Calibri" w:hAnsi="Calibri" w:cs="Calibri"/>
                <w:b w:val="0"/>
                <w:color w:val="000000"/>
                <w:sz w:val="22"/>
                <w:szCs w:val="22"/>
              </w:rPr>
            </w:pP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IAA</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PHAR</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AUTO</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IEM</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CHIM</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COM</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TRP</w:t>
            </w:r>
          </w:p>
        </w:tc>
        <w:tc>
          <w:tcPr>
            <w:tcW w:w="1080"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Total</w:t>
            </w:r>
          </w:p>
        </w:tc>
      </w:tr>
      <w:tr w:rsidR="00193833" w:rsidRPr="00754DCF" w:rsidTr="00754DC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80" w:type="dxa"/>
            <w:noWrap/>
            <w:hideMark/>
          </w:tcPr>
          <w:p w:rsidR="00193833" w:rsidRPr="00754DCF" w:rsidRDefault="00193833">
            <w:pPr>
              <w:rPr>
                <w:rFonts w:ascii="Calibri" w:hAnsi="Calibri" w:cs="Calibri"/>
                <w:b w:val="0"/>
                <w:color w:val="000000"/>
                <w:sz w:val="22"/>
                <w:szCs w:val="22"/>
              </w:rPr>
            </w:pPr>
            <w:r w:rsidRPr="00754DCF">
              <w:rPr>
                <w:rFonts w:ascii="Calibri" w:hAnsi="Calibri" w:cs="Calibri"/>
                <w:b w:val="0"/>
                <w:color w:val="000000"/>
                <w:sz w:val="22"/>
                <w:szCs w:val="22"/>
              </w:rPr>
              <w:t>Oui, une ou des personnes dédiées à la prévention</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39%</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55%</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27%</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33%</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45%</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30%</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16%</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33%</w:t>
            </w:r>
          </w:p>
        </w:tc>
      </w:tr>
      <w:tr w:rsidR="00193833" w:rsidRPr="00754DCF" w:rsidTr="00754DCF">
        <w:trPr>
          <w:trHeight w:val="225"/>
        </w:trPr>
        <w:tc>
          <w:tcPr>
            <w:cnfStyle w:val="001000000000" w:firstRow="0" w:lastRow="0" w:firstColumn="1" w:lastColumn="0" w:oddVBand="0" w:evenVBand="0" w:oddHBand="0" w:evenHBand="0" w:firstRowFirstColumn="0" w:firstRowLastColumn="0" w:lastRowFirstColumn="0" w:lastRowLastColumn="0"/>
            <w:tcW w:w="5480" w:type="dxa"/>
            <w:noWrap/>
            <w:hideMark/>
          </w:tcPr>
          <w:p w:rsidR="00193833" w:rsidRPr="00754DCF" w:rsidRDefault="00193833">
            <w:pPr>
              <w:rPr>
                <w:rFonts w:ascii="Calibri" w:hAnsi="Calibri" w:cs="Calibri"/>
                <w:b w:val="0"/>
                <w:color w:val="000000"/>
                <w:sz w:val="22"/>
                <w:szCs w:val="22"/>
              </w:rPr>
            </w:pPr>
            <w:r w:rsidRPr="00754DCF">
              <w:rPr>
                <w:rFonts w:ascii="Calibri" w:hAnsi="Calibri" w:cs="Calibri"/>
                <w:b w:val="0"/>
                <w:color w:val="000000"/>
                <w:sz w:val="22"/>
                <w:szCs w:val="22"/>
              </w:rPr>
              <w:t>Oui, des personnes qui occupent aussi d'autres fonctions</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46%</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34%</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69%</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64%</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51%</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48%</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68%</w:t>
            </w:r>
          </w:p>
        </w:tc>
        <w:tc>
          <w:tcPr>
            <w:tcW w:w="1080"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55%</w:t>
            </w:r>
          </w:p>
        </w:tc>
      </w:tr>
      <w:tr w:rsidR="00193833" w:rsidRPr="00754DCF" w:rsidTr="00754DC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80" w:type="dxa"/>
            <w:noWrap/>
            <w:hideMark/>
          </w:tcPr>
          <w:p w:rsidR="00193833" w:rsidRPr="00754DCF" w:rsidRDefault="00193833">
            <w:pPr>
              <w:rPr>
                <w:rFonts w:ascii="Calibri" w:hAnsi="Calibri" w:cs="Calibri"/>
                <w:b w:val="0"/>
                <w:color w:val="000000"/>
                <w:sz w:val="22"/>
                <w:szCs w:val="22"/>
              </w:rPr>
            </w:pPr>
            <w:r w:rsidRPr="00754DCF">
              <w:rPr>
                <w:rFonts w:ascii="Calibri" w:hAnsi="Calibri" w:cs="Calibri"/>
                <w:b w:val="0"/>
                <w:color w:val="000000"/>
                <w:sz w:val="22"/>
                <w:szCs w:val="22"/>
              </w:rPr>
              <w:t>Non, pas du tout</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15%</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7%</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5%</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5%</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22%</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16%</w:t>
            </w:r>
          </w:p>
        </w:tc>
        <w:tc>
          <w:tcPr>
            <w:tcW w:w="1080"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12%</w:t>
            </w:r>
          </w:p>
        </w:tc>
      </w:tr>
    </w:tbl>
    <w:p w:rsidR="004074DA" w:rsidRDefault="004074DA" w:rsidP="007E6612">
      <w:pPr>
        <w:jc w:val="both"/>
        <w:rPr>
          <w:rFonts w:ascii="Calibri" w:hAnsi="Calibri" w:cs="Calibri"/>
        </w:rPr>
      </w:pPr>
    </w:p>
    <w:p w:rsidR="004074DA" w:rsidRDefault="00193833" w:rsidP="007E6612">
      <w:pPr>
        <w:jc w:val="both"/>
        <w:rPr>
          <w:rFonts w:ascii="Calibri" w:hAnsi="Calibri" w:cs="Calibri"/>
        </w:rPr>
      </w:pPr>
      <w:r w:rsidRPr="002436B1">
        <w:rPr>
          <w:rFonts w:ascii="Calibri" w:hAnsi="Calibri" w:cs="Calibri"/>
          <w:i/>
          <w:iCs/>
        </w:rPr>
        <w:t>Etablissements de 50 à 99 salariés</w:t>
      </w:r>
    </w:p>
    <w:tbl>
      <w:tblPr>
        <w:tblStyle w:val="Trameclaire-Accent3"/>
        <w:tblW w:w="8755" w:type="dxa"/>
        <w:tblLook w:val="04A0" w:firstRow="1" w:lastRow="0" w:firstColumn="1" w:lastColumn="0" w:noHBand="0" w:noVBand="1"/>
      </w:tblPr>
      <w:tblGrid>
        <w:gridCol w:w="5637"/>
        <w:gridCol w:w="992"/>
        <w:gridCol w:w="992"/>
        <w:gridCol w:w="1134"/>
      </w:tblGrid>
      <w:tr w:rsidR="00193833" w:rsidRPr="00754DCF" w:rsidTr="00754DC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37" w:type="dxa"/>
          </w:tcPr>
          <w:p w:rsidR="00193833" w:rsidRPr="00754DCF" w:rsidRDefault="00193833">
            <w:pPr>
              <w:rPr>
                <w:rFonts w:ascii="Calibri" w:hAnsi="Calibri" w:cs="Calibri"/>
                <w:b w:val="0"/>
                <w:color w:val="000000"/>
                <w:sz w:val="22"/>
                <w:szCs w:val="22"/>
              </w:rPr>
            </w:pPr>
          </w:p>
        </w:tc>
        <w:tc>
          <w:tcPr>
            <w:tcW w:w="992"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COM</w:t>
            </w:r>
          </w:p>
        </w:tc>
        <w:tc>
          <w:tcPr>
            <w:tcW w:w="992"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TRP</w:t>
            </w:r>
          </w:p>
        </w:tc>
        <w:tc>
          <w:tcPr>
            <w:tcW w:w="1134" w:type="dxa"/>
            <w:noWrap/>
            <w:hideMark/>
          </w:tcPr>
          <w:p w:rsidR="00193833" w:rsidRPr="00754DCF" w:rsidRDefault="00193833" w:rsidP="00754D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754DCF">
              <w:rPr>
                <w:rFonts w:ascii="Calibri" w:hAnsi="Calibri" w:cs="Calibri"/>
                <w:b w:val="0"/>
                <w:color w:val="000000"/>
                <w:sz w:val="22"/>
                <w:szCs w:val="22"/>
              </w:rPr>
              <w:t>Total</w:t>
            </w:r>
          </w:p>
        </w:tc>
      </w:tr>
      <w:tr w:rsidR="00193833" w:rsidRPr="00754DCF" w:rsidTr="00754DC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37" w:type="dxa"/>
          </w:tcPr>
          <w:p w:rsidR="00193833" w:rsidRPr="00754DCF" w:rsidRDefault="00193833">
            <w:pPr>
              <w:rPr>
                <w:rFonts w:ascii="Calibri" w:hAnsi="Calibri" w:cs="Calibri"/>
                <w:b w:val="0"/>
                <w:color w:val="000000"/>
                <w:sz w:val="22"/>
                <w:szCs w:val="22"/>
              </w:rPr>
            </w:pPr>
            <w:r w:rsidRPr="00754DCF">
              <w:rPr>
                <w:rFonts w:ascii="Calibri" w:hAnsi="Calibri" w:cs="Calibri"/>
                <w:b w:val="0"/>
                <w:color w:val="000000"/>
                <w:sz w:val="22"/>
                <w:szCs w:val="22"/>
              </w:rPr>
              <w:t>Oui, une ou des personnes dédiées à la prévention</w:t>
            </w:r>
          </w:p>
        </w:tc>
        <w:tc>
          <w:tcPr>
            <w:tcW w:w="992"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36%</w:t>
            </w:r>
          </w:p>
        </w:tc>
        <w:tc>
          <w:tcPr>
            <w:tcW w:w="992"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11%</w:t>
            </w:r>
          </w:p>
        </w:tc>
        <w:tc>
          <w:tcPr>
            <w:tcW w:w="1134"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25%</w:t>
            </w:r>
          </w:p>
        </w:tc>
      </w:tr>
      <w:tr w:rsidR="00193833" w:rsidRPr="00754DCF" w:rsidTr="00754DCF">
        <w:trPr>
          <w:trHeight w:val="225"/>
        </w:trPr>
        <w:tc>
          <w:tcPr>
            <w:cnfStyle w:val="001000000000" w:firstRow="0" w:lastRow="0" w:firstColumn="1" w:lastColumn="0" w:oddVBand="0" w:evenVBand="0" w:oddHBand="0" w:evenHBand="0" w:firstRowFirstColumn="0" w:firstRowLastColumn="0" w:lastRowFirstColumn="0" w:lastRowLastColumn="0"/>
            <w:tcW w:w="5637" w:type="dxa"/>
          </w:tcPr>
          <w:p w:rsidR="00193833" w:rsidRPr="00754DCF" w:rsidRDefault="00193833">
            <w:pPr>
              <w:rPr>
                <w:rFonts w:ascii="Calibri" w:hAnsi="Calibri" w:cs="Calibri"/>
                <w:b w:val="0"/>
                <w:color w:val="000000"/>
                <w:sz w:val="22"/>
                <w:szCs w:val="22"/>
              </w:rPr>
            </w:pPr>
            <w:r w:rsidRPr="00754DCF">
              <w:rPr>
                <w:rFonts w:ascii="Calibri" w:hAnsi="Calibri" w:cs="Calibri"/>
                <w:b w:val="0"/>
                <w:color w:val="000000"/>
                <w:sz w:val="22"/>
                <w:szCs w:val="22"/>
              </w:rPr>
              <w:t>Oui, des personnes qui occupent aussi d'autres fonctions</w:t>
            </w:r>
          </w:p>
        </w:tc>
        <w:tc>
          <w:tcPr>
            <w:tcW w:w="992"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49%</w:t>
            </w:r>
          </w:p>
        </w:tc>
        <w:tc>
          <w:tcPr>
            <w:tcW w:w="992"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63%</w:t>
            </w:r>
          </w:p>
        </w:tc>
        <w:tc>
          <w:tcPr>
            <w:tcW w:w="1134" w:type="dxa"/>
            <w:noWrap/>
            <w:hideMark/>
          </w:tcPr>
          <w:p w:rsidR="00193833" w:rsidRPr="00754DCF" w:rsidRDefault="00193833" w:rsidP="00754D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55%</w:t>
            </w:r>
          </w:p>
        </w:tc>
      </w:tr>
      <w:tr w:rsidR="00193833" w:rsidRPr="00754DCF" w:rsidTr="00754DC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37" w:type="dxa"/>
          </w:tcPr>
          <w:p w:rsidR="00193833" w:rsidRPr="00754DCF" w:rsidRDefault="00193833">
            <w:pPr>
              <w:rPr>
                <w:rFonts w:ascii="Calibri" w:hAnsi="Calibri" w:cs="Calibri"/>
                <w:b w:val="0"/>
                <w:color w:val="000000"/>
                <w:sz w:val="22"/>
                <w:szCs w:val="22"/>
              </w:rPr>
            </w:pPr>
            <w:r w:rsidRPr="00754DCF">
              <w:rPr>
                <w:rFonts w:ascii="Calibri" w:hAnsi="Calibri" w:cs="Calibri"/>
                <w:b w:val="0"/>
                <w:color w:val="000000"/>
                <w:sz w:val="22"/>
                <w:szCs w:val="22"/>
              </w:rPr>
              <w:t>Non, pas du tout</w:t>
            </w:r>
          </w:p>
        </w:tc>
        <w:tc>
          <w:tcPr>
            <w:tcW w:w="992"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15%</w:t>
            </w:r>
          </w:p>
        </w:tc>
        <w:tc>
          <w:tcPr>
            <w:tcW w:w="992"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26%</w:t>
            </w:r>
          </w:p>
        </w:tc>
        <w:tc>
          <w:tcPr>
            <w:tcW w:w="1134" w:type="dxa"/>
            <w:noWrap/>
            <w:hideMark/>
          </w:tcPr>
          <w:p w:rsidR="00193833" w:rsidRPr="00754DCF" w:rsidRDefault="00193833" w:rsidP="00754D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4DCF">
              <w:rPr>
                <w:rFonts w:ascii="Calibri" w:hAnsi="Calibri" w:cs="Calibri"/>
                <w:color w:val="000000"/>
                <w:sz w:val="22"/>
                <w:szCs w:val="22"/>
              </w:rPr>
              <w:t>20%</w:t>
            </w:r>
          </w:p>
        </w:tc>
      </w:tr>
    </w:tbl>
    <w:p w:rsidR="004074DA" w:rsidRDefault="004074DA" w:rsidP="007E6612">
      <w:pPr>
        <w:jc w:val="both"/>
        <w:rPr>
          <w:rFonts w:ascii="Calibri" w:hAnsi="Calibri" w:cs="Calibri"/>
        </w:rPr>
      </w:pPr>
    </w:p>
    <w:p w:rsidR="002B1371" w:rsidRDefault="0077225A" w:rsidP="002B1371">
      <w:pPr>
        <w:jc w:val="both"/>
        <w:rPr>
          <w:rFonts w:ascii="Calibri" w:hAnsi="Calibri" w:cs="Calibri"/>
        </w:rPr>
      </w:pPr>
      <w:r>
        <w:rPr>
          <w:rFonts w:ascii="Calibri" w:hAnsi="Calibri" w:cs="Calibri"/>
        </w:rPr>
        <w:t>Rares sont les établissements</w:t>
      </w:r>
      <w:r w:rsidR="00F22D38">
        <w:rPr>
          <w:rFonts w:ascii="Calibri" w:hAnsi="Calibri" w:cs="Calibri"/>
        </w:rPr>
        <w:t xml:space="preserve"> qui n’ont pas désigné une personne en charge de la prévention des risques professionnels (12% des établissements de 100 salariés et plus dans ce cas). Un tiers des établiss</w:t>
      </w:r>
      <w:r w:rsidR="00C83036">
        <w:rPr>
          <w:rFonts w:ascii="Calibri" w:hAnsi="Calibri" w:cs="Calibri"/>
        </w:rPr>
        <w:t xml:space="preserve">ements de 100 salariés et plus, </w:t>
      </w:r>
      <w:r w:rsidR="00F22D38">
        <w:rPr>
          <w:rFonts w:ascii="Calibri" w:hAnsi="Calibri" w:cs="Calibri"/>
        </w:rPr>
        <w:t>et un quart des établissements de 50 à 99 salariés</w:t>
      </w:r>
      <w:r w:rsidR="00C83036">
        <w:rPr>
          <w:rFonts w:ascii="Calibri" w:hAnsi="Calibri" w:cs="Calibri"/>
        </w:rPr>
        <w:t>,</w:t>
      </w:r>
      <w:r w:rsidR="00F22D38">
        <w:rPr>
          <w:rFonts w:ascii="Calibri" w:hAnsi="Calibri" w:cs="Calibri"/>
        </w:rPr>
        <w:t xml:space="preserve"> emploient même des personnes entièrement dédiées à cette mission. </w:t>
      </w:r>
    </w:p>
    <w:p w:rsidR="00E85034" w:rsidRDefault="00E85034" w:rsidP="002B1371">
      <w:pPr>
        <w:jc w:val="both"/>
        <w:rPr>
          <w:rFonts w:ascii="Calibri" w:hAnsi="Calibri" w:cs="Calibri"/>
        </w:rPr>
      </w:pPr>
    </w:p>
    <w:p w:rsidR="00E85034" w:rsidRDefault="00E85034" w:rsidP="002B1371">
      <w:pPr>
        <w:jc w:val="both"/>
        <w:rPr>
          <w:rFonts w:ascii="Calibri" w:hAnsi="Calibri" w:cs="Calibri"/>
        </w:rPr>
      </w:pPr>
    </w:p>
    <w:p w:rsidR="00896E9F" w:rsidRDefault="00896E9F">
      <w:pPr>
        <w:rPr>
          <w:rFonts w:ascii="Calibri" w:hAnsi="Calibri" w:cs="Calibri"/>
        </w:rPr>
      </w:pPr>
      <w:r>
        <w:rPr>
          <w:rFonts w:ascii="Calibri" w:hAnsi="Calibri" w:cs="Calibri"/>
        </w:rPr>
        <w:br w:type="page"/>
      </w:r>
    </w:p>
    <w:p w:rsidR="00E85034" w:rsidRPr="002436B1" w:rsidRDefault="00E85034" w:rsidP="002B1371">
      <w:pPr>
        <w:jc w:val="both"/>
        <w:rPr>
          <w:rFonts w:ascii="Calibri" w:hAnsi="Calibri" w:cs="Calibri"/>
        </w:rPr>
      </w:pPr>
    </w:p>
    <w:p w:rsidR="002B1371" w:rsidRPr="005455E9" w:rsidRDefault="002B1371" w:rsidP="002B1371">
      <w:pPr>
        <w:numPr>
          <w:ilvl w:val="0"/>
          <w:numId w:val="8"/>
        </w:numPr>
        <w:tabs>
          <w:tab w:val="clear" w:pos="1080"/>
          <w:tab w:val="num" w:pos="900"/>
        </w:tabs>
        <w:ind w:left="900" w:right="-82" w:hanging="900"/>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55E9">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Politique de qualification</w:t>
      </w:r>
    </w:p>
    <w:p w:rsidR="002B1371" w:rsidRPr="002436B1" w:rsidRDefault="002B1371" w:rsidP="002B1371">
      <w:pPr>
        <w:ind w:left="360"/>
        <w:rPr>
          <w:rFonts w:ascii="Calibri" w:hAnsi="Calibri" w:cs="Calibri"/>
          <w:color w:val="4F6228"/>
        </w:rPr>
      </w:pPr>
    </w:p>
    <w:p w:rsidR="002B1371" w:rsidRPr="004D131F" w:rsidRDefault="00A61B37" w:rsidP="002B1371">
      <w:pPr>
        <w:rPr>
          <w:rFonts w:ascii="Arial Black" w:hAnsi="Arial Black" w:cs="Calibri"/>
          <w:b/>
          <w:bCs/>
          <w:color w:val="632423"/>
        </w:rPr>
      </w:pPr>
      <w:r>
        <w:rPr>
          <w:rFonts w:ascii="Arial Black" w:hAnsi="Arial Black" w:cs="Calibri"/>
          <w:b/>
          <w:bCs/>
          <w:color w:val="632423"/>
        </w:rPr>
        <w:t>Une formation</w:t>
      </w:r>
      <w:r w:rsidR="002B1371" w:rsidRPr="004D131F">
        <w:rPr>
          <w:rFonts w:ascii="Arial Black" w:hAnsi="Arial Black" w:cs="Calibri"/>
          <w:b/>
          <w:bCs/>
          <w:color w:val="632423"/>
        </w:rPr>
        <w:t xml:space="preserve"> spécifique à la logistique (</w:t>
      </w:r>
      <w:r>
        <w:rPr>
          <w:rFonts w:ascii="Arial Black" w:hAnsi="Arial Black" w:cs="Calibri"/>
          <w:b/>
          <w:bCs/>
          <w:color w:val="632423"/>
        </w:rPr>
        <w:t>diplôme ou titre professionnel) est requise pour occuper un</w:t>
      </w:r>
      <w:r w:rsidR="002B1371" w:rsidRPr="004D131F">
        <w:rPr>
          <w:rFonts w:ascii="Arial Black" w:hAnsi="Arial Black" w:cs="Calibri"/>
          <w:b/>
          <w:bCs/>
          <w:color w:val="632423"/>
        </w:rPr>
        <w:t xml:space="preserve"> poste de technicien </w:t>
      </w:r>
      <w:r>
        <w:rPr>
          <w:rFonts w:ascii="Arial Black" w:hAnsi="Arial Black" w:cs="Calibri"/>
          <w:b/>
          <w:bCs/>
          <w:color w:val="632423"/>
        </w:rPr>
        <w:t>/</w:t>
      </w:r>
      <w:r w:rsidR="002B1371" w:rsidRPr="004D131F">
        <w:rPr>
          <w:rFonts w:ascii="Arial Black" w:hAnsi="Arial Black" w:cs="Calibri"/>
          <w:b/>
          <w:bCs/>
          <w:color w:val="632423"/>
        </w:rPr>
        <w:t xml:space="preserve"> agent de maîtrise</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Pourcentage d’établissements tenant compte des formations spécifiques à la logistique pour le recrutement du personnel logistique</w:t>
      </w:r>
    </w:p>
    <w:p w:rsidR="002B1371" w:rsidRPr="002436B1" w:rsidRDefault="002B1371" w:rsidP="002B1371">
      <w:pPr>
        <w:rPr>
          <w:rFonts w:ascii="Calibri" w:hAnsi="Calibri" w:cs="Calibri"/>
        </w:rPr>
      </w:pPr>
    </w:p>
    <w:p w:rsidR="002B1371" w:rsidRPr="002436B1" w:rsidRDefault="002B1371" w:rsidP="00CB1BAE">
      <w:pPr>
        <w:rPr>
          <w:rFonts w:ascii="Calibri" w:hAnsi="Calibri" w:cs="Calibri"/>
          <w:i/>
          <w:iCs/>
        </w:rPr>
      </w:pPr>
      <w:r w:rsidRPr="002436B1">
        <w:rPr>
          <w:rFonts w:ascii="Calibri" w:hAnsi="Calibri" w:cs="Calibri"/>
          <w:i/>
          <w:iCs/>
        </w:rPr>
        <w:t>Etablissements de 100 salariés et plus</w:t>
      </w:r>
    </w:p>
    <w:p w:rsidR="002B1371" w:rsidRPr="002436B1" w:rsidRDefault="00AD6615" w:rsidP="002B1371">
      <w:pPr>
        <w:rPr>
          <w:rFonts w:ascii="Calibri" w:hAnsi="Calibri" w:cs="Calibri"/>
        </w:rPr>
      </w:pPr>
      <w:r>
        <w:rPr>
          <w:rFonts w:ascii="Calibri" w:hAnsi="Calibri" w:cs="Calibri"/>
          <w:noProof/>
        </w:rPr>
        <w:drawing>
          <wp:inline distT="0" distB="0" distL="0" distR="0" wp14:anchorId="1634E9BB" wp14:editId="06F774BE">
            <wp:extent cx="8997351" cy="1561381"/>
            <wp:effectExtent l="0" t="0" r="13335" b="20320"/>
            <wp:docPr id="48" name="Obje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B1371" w:rsidRDefault="002B1371" w:rsidP="00324C8C">
      <w:pPr>
        <w:rPr>
          <w:rFonts w:ascii="Calibri" w:hAnsi="Calibri" w:cs="Calibri"/>
          <w:i/>
          <w:iCs/>
        </w:rPr>
      </w:pPr>
      <w:r w:rsidRPr="002436B1">
        <w:rPr>
          <w:rFonts w:ascii="Calibri" w:hAnsi="Calibri" w:cs="Calibri"/>
          <w:i/>
          <w:iCs/>
        </w:rPr>
        <w:t>Etablissements de 50 à 99 salariés</w:t>
      </w:r>
    </w:p>
    <w:p w:rsidR="002B1371" w:rsidRPr="002436B1" w:rsidRDefault="00AD6615" w:rsidP="002B1371">
      <w:pPr>
        <w:rPr>
          <w:rFonts w:ascii="Calibri" w:hAnsi="Calibri" w:cs="Calibri"/>
        </w:rPr>
      </w:pPr>
      <w:r>
        <w:rPr>
          <w:rFonts w:ascii="Calibri" w:hAnsi="Calibri" w:cs="Calibri"/>
          <w:noProof/>
        </w:rPr>
        <w:drawing>
          <wp:inline distT="0" distB="0" distL="0" distR="0" wp14:anchorId="5E464D47" wp14:editId="4A0F75BC">
            <wp:extent cx="9074989" cy="1570008"/>
            <wp:effectExtent l="0" t="0" r="12065" b="11430"/>
            <wp:docPr id="49" name="Obje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7147D" w:rsidRDefault="0017147D" w:rsidP="002D44B4">
      <w:pPr>
        <w:jc w:val="both"/>
        <w:rPr>
          <w:rFonts w:ascii="Calibri" w:hAnsi="Calibri" w:cs="Calibri"/>
        </w:rPr>
      </w:pPr>
    </w:p>
    <w:p w:rsidR="00A61B37" w:rsidRDefault="00A61B37" w:rsidP="002D44B4">
      <w:pPr>
        <w:jc w:val="both"/>
        <w:rPr>
          <w:rFonts w:ascii="Arial Black" w:hAnsi="Arial Black" w:cs="Calibri"/>
          <w:b/>
          <w:bCs/>
          <w:color w:val="632423"/>
        </w:rPr>
      </w:pPr>
      <w:r>
        <w:rPr>
          <w:rFonts w:ascii="Calibri" w:hAnsi="Calibri" w:cs="Calibri"/>
        </w:rPr>
        <w:t>Les deux tiers des</w:t>
      </w:r>
      <w:r w:rsidRPr="00A61B37">
        <w:rPr>
          <w:rFonts w:ascii="Calibri" w:hAnsi="Calibri" w:cs="Calibri"/>
        </w:rPr>
        <w:t xml:space="preserve"> </w:t>
      </w:r>
      <w:r>
        <w:rPr>
          <w:rFonts w:ascii="Calibri" w:hAnsi="Calibri" w:cs="Calibri"/>
        </w:rPr>
        <w:t xml:space="preserve">établissements de 100 salariés et plus, et la moitié des établissements de 50 à 99 salariés, déclarent tenir compte d’un cursus diplômant ou qualifiant en logistique lors de la sélection </w:t>
      </w:r>
      <w:r w:rsidR="00A34941">
        <w:rPr>
          <w:rFonts w:ascii="Calibri" w:hAnsi="Calibri" w:cs="Calibri"/>
        </w:rPr>
        <w:t xml:space="preserve">d’un </w:t>
      </w:r>
      <w:r>
        <w:rPr>
          <w:rFonts w:ascii="Calibri" w:hAnsi="Calibri" w:cs="Calibri"/>
        </w:rPr>
        <w:t xml:space="preserve">candidat au poste de technicien/agent de maîtrise. </w:t>
      </w:r>
      <w:r w:rsidR="00A34941">
        <w:rPr>
          <w:rFonts w:ascii="Calibri" w:hAnsi="Calibri" w:cs="Calibri"/>
        </w:rPr>
        <w:t>C’est plus que pour les autres catégories d’emploi (47% des établissements de 100 salariés et plus tiennent compte des formations spécifiques à la logistique pour le recrutement d’opérateurs logistique</w:t>
      </w:r>
      <w:r w:rsidR="00DE02F3">
        <w:rPr>
          <w:rFonts w:ascii="Calibri" w:hAnsi="Calibri" w:cs="Calibri"/>
        </w:rPr>
        <w:t>s</w:t>
      </w:r>
      <w:r w:rsidR="00A34941">
        <w:rPr>
          <w:rFonts w:ascii="Calibri" w:hAnsi="Calibri" w:cs="Calibri"/>
        </w:rPr>
        <w:t xml:space="preserve">). </w:t>
      </w:r>
      <w:r w:rsidR="002D44B4">
        <w:rPr>
          <w:rFonts w:ascii="Calibri" w:hAnsi="Calibri" w:cs="Calibri"/>
        </w:rPr>
        <w:t xml:space="preserve">Les établissements de plus de 100 salariés sont également davantage susceptibles que les établissements de moins de 100 salariés de recruter du personnel logistique sur la base des diplômes et qualifications obtenus. </w:t>
      </w:r>
      <w:r>
        <w:rPr>
          <w:rFonts w:ascii="Arial Black" w:hAnsi="Arial Black" w:cs="Calibri"/>
          <w:b/>
          <w:bCs/>
          <w:color w:val="632423"/>
        </w:rPr>
        <w:br w:type="page"/>
      </w:r>
    </w:p>
    <w:p w:rsidR="002B1371" w:rsidRPr="00324C8C" w:rsidRDefault="002C32DA" w:rsidP="002B1371">
      <w:pPr>
        <w:rPr>
          <w:rFonts w:ascii="Arial Black" w:hAnsi="Arial Black" w:cs="Calibri"/>
          <w:b/>
          <w:bCs/>
          <w:color w:val="632423"/>
        </w:rPr>
      </w:pPr>
      <w:r>
        <w:rPr>
          <w:rFonts w:ascii="Arial Black" w:hAnsi="Arial Black" w:cs="Calibri"/>
          <w:b/>
          <w:bCs/>
          <w:color w:val="632423"/>
        </w:rPr>
        <w:t>Le Bac Pro Logistique continue d’avoir la faveur des recruteurs pour pourvoir des</w:t>
      </w:r>
      <w:r w:rsidR="002B1371" w:rsidRPr="00324C8C">
        <w:rPr>
          <w:rFonts w:ascii="Arial Black" w:hAnsi="Arial Black" w:cs="Calibri"/>
          <w:b/>
          <w:bCs/>
          <w:color w:val="632423"/>
        </w:rPr>
        <w:t xml:space="preserve"> postes d’opérateurs logistiques</w:t>
      </w:r>
      <w:r>
        <w:rPr>
          <w:rFonts w:ascii="Arial Black" w:hAnsi="Arial Black" w:cs="Calibri"/>
          <w:b/>
          <w:bCs/>
          <w:color w:val="632423"/>
        </w:rPr>
        <w:t>, talonné par le TP Cariste d’entrepôt</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Diplômes et titres privilégiés pour le recrutement d’opérateurs</w:t>
      </w:r>
      <w:r w:rsidR="00324C8C">
        <w:rPr>
          <w:rFonts w:ascii="Calibri" w:hAnsi="Calibri" w:cs="Calibri"/>
          <w:b/>
          <w:bCs/>
        </w:rPr>
        <w:t xml:space="preserve"> </w:t>
      </w:r>
      <w:r w:rsidRPr="002436B1">
        <w:rPr>
          <w:rFonts w:ascii="Calibri" w:hAnsi="Calibri" w:cs="Calibri"/>
          <w:b/>
          <w:bCs/>
        </w:rPr>
        <w:t>(en % des réponses des établissements de 100 salariés et plus)</w:t>
      </w:r>
    </w:p>
    <w:p w:rsidR="002B1371" w:rsidRPr="002436B1" w:rsidRDefault="0016705C" w:rsidP="002B1371">
      <w:pPr>
        <w:rPr>
          <w:rFonts w:ascii="Calibri" w:hAnsi="Calibri" w:cs="Calibri"/>
        </w:rPr>
      </w:pPr>
      <w:r>
        <w:rPr>
          <w:rFonts w:ascii="Calibri" w:hAnsi="Calibri" w:cs="Calibri"/>
          <w:noProof/>
        </w:rPr>
        <w:drawing>
          <wp:anchor distT="0" distB="0" distL="114300" distR="114300" simplePos="0" relativeHeight="251659264" behindDoc="0" locked="0" layoutInCell="1" allowOverlap="1" wp14:anchorId="4E247813" wp14:editId="681F5561">
            <wp:simplePos x="0" y="0"/>
            <wp:positionH relativeFrom="column">
              <wp:posOffset>-5715</wp:posOffset>
            </wp:positionH>
            <wp:positionV relativeFrom="paragraph">
              <wp:posOffset>29209</wp:posOffset>
            </wp:positionV>
            <wp:extent cx="8943975" cy="4600575"/>
            <wp:effectExtent l="0" t="0" r="9525" b="9525"/>
            <wp:wrapNone/>
            <wp:docPr id="192" name="Obje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Default="002B1371" w:rsidP="002B1371">
      <w:pPr>
        <w:rPr>
          <w:rFonts w:ascii="Calibri" w:hAnsi="Calibri" w:cs="Calibri"/>
        </w:rPr>
      </w:pPr>
    </w:p>
    <w:p w:rsidR="00E36F1E" w:rsidRDefault="00E36F1E" w:rsidP="002B1371">
      <w:pPr>
        <w:rPr>
          <w:rFonts w:ascii="Calibri" w:hAnsi="Calibri" w:cs="Calibri"/>
        </w:rPr>
      </w:pPr>
    </w:p>
    <w:p w:rsidR="00E36F1E" w:rsidRDefault="00E36F1E" w:rsidP="002B1371">
      <w:pPr>
        <w:rPr>
          <w:rFonts w:ascii="Calibri" w:hAnsi="Calibri" w:cs="Calibri"/>
        </w:rPr>
      </w:pPr>
    </w:p>
    <w:p w:rsidR="00E36F1E" w:rsidRDefault="00E36F1E" w:rsidP="002B1371">
      <w:pPr>
        <w:rPr>
          <w:rFonts w:ascii="Calibri" w:hAnsi="Calibri" w:cs="Calibri"/>
        </w:rPr>
      </w:pPr>
    </w:p>
    <w:p w:rsidR="00E36F1E" w:rsidRDefault="00E36F1E" w:rsidP="002B1371">
      <w:pPr>
        <w:rPr>
          <w:rFonts w:ascii="Calibri" w:hAnsi="Calibri" w:cs="Calibri"/>
        </w:rPr>
      </w:pPr>
    </w:p>
    <w:p w:rsidR="00E36F1E" w:rsidRDefault="00E36F1E" w:rsidP="002B1371">
      <w:pPr>
        <w:rPr>
          <w:rFonts w:ascii="Calibri" w:hAnsi="Calibri" w:cs="Calibri"/>
        </w:rPr>
      </w:pPr>
    </w:p>
    <w:p w:rsidR="00E36F1E" w:rsidRPr="002436B1" w:rsidRDefault="00E36F1E" w:rsidP="002B1371">
      <w:pPr>
        <w:rPr>
          <w:rFonts w:ascii="Calibri" w:hAnsi="Calibri" w:cs="Calibri"/>
        </w:rPr>
      </w:pPr>
    </w:p>
    <w:p w:rsidR="002B1371" w:rsidRPr="002436B1" w:rsidRDefault="002B1371" w:rsidP="002B1371">
      <w:pPr>
        <w:rPr>
          <w:rFonts w:ascii="Calibri" w:hAnsi="Calibri" w:cs="Calibri"/>
        </w:rPr>
      </w:pPr>
    </w:p>
    <w:p w:rsidR="00270567" w:rsidRDefault="00270567" w:rsidP="002B1371">
      <w:pPr>
        <w:jc w:val="both"/>
        <w:rPr>
          <w:rFonts w:ascii="Calibri" w:hAnsi="Calibri" w:cs="Calibri"/>
        </w:rPr>
      </w:pPr>
    </w:p>
    <w:p w:rsidR="00270567" w:rsidRDefault="00270567" w:rsidP="002B1371">
      <w:pPr>
        <w:jc w:val="both"/>
        <w:rPr>
          <w:rFonts w:ascii="Calibri" w:hAnsi="Calibri" w:cs="Calibri"/>
        </w:rPr>
      </w:pPr>
    </w:p>
    <w:p w:rsidR="008D470C" w:rsidRPr="002436B1" w:rsidRDefault="002C32DA" w:rsidP="002B1371">
      <w:pPr>
        <w:jc w:val="both"/>
        <w:rPr>
          <w:rFonts w:ascii="Calibri" w:hAnsi="Calibri" w:cs="Calibri"/>
        </w:rPr>
      </w:pPr>
      <w:r>
        <w:rPr>
          <w:rFonts w:ascii="Calibri" w:hAnsi="Calibri" w:cs="Calibri"/>
        </w:rPr>
        <w:t xml:space="preserve">Trois fois sur dix, les recruteurs d’opérateurs logistiques </w:t>
      </w:r>
      <w:r w:rsidR="00E514F8">
        <w:rPr>
          <w:rFonts w:ascii="Calibri" w:hAnsi="Calibri" w:cs="Calibri"/>
        </w:rPr>
        <w:t>privilégient les titulaires d’un</w:t>
      </w:r>
      <w:r w:rsidR="008D470C">
        <w:rPr>
          <w:rFonts w:ascii="Calibri" w:hAnsi="Calibri" w:cs="Calibri"/>
        </w:rPr>
        <w:t xml:space="preserve"> Bac Professionnel Logistique, en pool position juste devant le TP Cariste d’entrepôt (22% des citations). Ce dernier est deux fois plus cité que le TP Préparateur(trice) de commandes en entrepôt</w:t>
      </w:r>
      <w:r w:rsidR="006630CD">
        <w:rPr>
          <w:rFonts w:ascii="Calibri" w:hAnsi="Calibri" w:cs="Calibri"/>
        </w:rPr>
        <w:t xml:space="preserve">, alors que davantage </w:t>
      </w:r>
      <w:r w:rsidR="00C83036">
        <w:rPr>
          <w:rFonts w:ascii="Calibri" w:hAnsi="Calibri" w:cs="Calibri"/>
        </w:rPr>
        <w:t xml:space="preserve">de </w:t>
      </w:r>
      <w:r w:rsidR="006630CD">
        <w:rPr>
          <w:rFonts w:ascii="Calibri" w:hAnsi="Calibri" w:cs="Calibri"/>
        </w:rPr>
        <w:t xml:space="preserve">personnes sont formées chaque année au TP Préparateur(trice) de commandes en entrepôt (environ 200 de plus par an au niveau national comparativement au TP Cariste d’entrepôt). </w:t>
      </w:r>
    </w:p>
    <w:p w:rsidR="002C32DA" w:rsidRDefault="002C32DA">
      <w:pPr>
        <w:rPr>
          <w:rFonts w:ascii="Arial Black" w:hAnsi="Arial Black" w:cs="Calibri"/>
          <w:b/>
          <w:bCs/>
          <w:color w:val="632423"/>
        </w:rPr>
      </w:pPr>
      <w:r>
        <w:rPr>
          <w:rFonts w:ascii="Arial Black" w:hAnsi="Arial Black" w:cs="Calibri"/>
          <w:b/>
          <w:bCs/>
          <w:color w:val="632423"/>
        </w:rPr>
        <w:br w:type="page"/>
      </w:r>
    </w:p>
    <w:p w:rsidR="002B1371" w:rsidRPr="00E36F1E" w:rsidRDefault="006302FF" w:rsidP="002B1371">
      <w:pPr>
        <w:rPr>
          <w:rFonts w:ascii="Arial Black" w:hAnsi="Arial Black" w:cs="Calibri"/>
          <w:b/>
          <w:bCs/>
          <w:color w:val="632423"/>
        </w:rPr>
      </w:pPr>
      <w:r>
        <w:rPr>
          <w:rFonts w:ascii="Arial Black" w:hAnsi="Arial Black" w:cs="Calibri"/>
          <w:b/>
          <w:bCs/>
          <w:color w:val="632423"/>
        </w:rPr>
        <w:t>D</w:t>
      </w:r>
      <w:r w:rsidR="002B1371" w:rsidRPr="00E36F1E">
        <w:rPr>
          <w:rFonts w:ascii="Arial Black" w:hAnsi="Arial Black" w:cs="Calibri"/>
          <w:b/>
          <w:bCs/>
          <w:color w:val="632423"/>
        </w:rPr>
        <w:t>es formations de niveau I</w:t>
      </w:r>
      <w:r>
        <w:rPr>
          <w:rFonts w:ascii="Arial Black" w:hAnsi="Arial Black" w:cs="Calibri"/>
          <w:b/>
          <w:bCs/>
          <w:color w:val="632423"/>
        </w:rPr>
        <w:t>II sont privilégiées</w:t>
      </w:r>
      <w:r w:rsidR="002B1371" w:rsidRPr="00E36F1E">
        <w:rPr>
          <w:rFonts w:ascii="Arial Black" w:hAnsi="Arial Black" w:cs="Calibri"/>
          <w:b/>
          <w:bCs/>
          <w:color w:val="632423"/>
        </w:rPr>
        <w:t xml:space="preserve"> pour le recrutement de techniciens/agents de maîtrise de la logistique</w:t>
      </w:r>
    </w:p>
    <w:p w:rsidR="002B1371" w:rsidRPr="002436B1" w:rsidRDefault="002B1371" w:rsidP="002B1371">
      <w:pPr>
        <w:rPr>
          <w:rFonts w:ascii="Calibri" w:hAnsi="Calibri" w:cs="Calibri"/>
          <w:b/>
          <w:bCs/>
        </w:rPr>
      </w:pPr>
    </w:p>
    <w:p w:rsidR="002B1371" w:rsidRPr="002436B1" w:rsidRDefault="002B1371" w:rsidP="009E4325">
      <w:pPr>
        <w:rPr>
          <w:rFonts w:ascii="Calibri" w:hAnsi="Calibri" w:cs="Calibri"/>
          <w:b/>
          <w:bCs/>
        </w:rPr>
      </w:pPr>
      <w:r w:rsidRPr="002436B1">
        <w:rPr>
          <w:rFonts w:ascii="Calibri" w:hAnsi="Calibri" w:cs="Calibri"/>
          <w:b/>
          <w:bCs/>
        </w:rPr>
        <w:t>Diplômes et titres privilégiés pour le recrutement de techniciens/agents de maîtrise</w:t>
      </w:r>
      <w:r w:rsidR="009E4325">
        <w:rPr>
          <w:rFonts w:ascii="Calibri" w:hAnsi="Calibri" w:cs="Calibri"/>
          <w:b/>
          <w:bCs/>
        </w:rPr>
        <w:t xml:space="preserve"> </w:t>
      </w:r>
      <w:r w:rsidRPr="002436B1">
        <w:rPr>
          <w:rFonts w:ascii="Calibri" w:hAnsi="Calibri" w:cs="Calibri"/>
          <w:b/>
          <w:bCs/>
        </w:rPr>
        <w:t>(en % des réponses des établissements de 100 salariés et plus)</w:t>
      </w:r>
    </w:p>
    <w:p w:rsidR="002B1371" w:rsidRPr="002436B1" w:rsidRDefault="009E4325" w:rsidP="002B1371">
      <w:pPr>
        <w:rPr>
          <w:rFonts w:ascii="Calibri" w:hAnsi="Calibri" w:cs="Calibri"/>
        </w:rPr>
      </w:pPr>
      <w:r>
        <w:rPr>
          <w:rFonts w:ascii="Calibri" w:hAnsi="Calibri" w:cs="Calibri"/>
          <w:noProof/>
          <w:color w:val="4F6228"/>
        </w:rPr>
        <w:drawing>
          <wp:anchor distT="0" distB="0" distL="114300" distR="114300" simplePos="0" relativeHeight="251660288" behindDoc="0" locked="0" layoutInCell="1" allowOverlap="1" wp14:anchorId="151B5A55" wp14:editId="55653E87">
            <wp:simplePos x="0" y="0"/>
            <wp:positionH relativeFrom="column">
              <wp:posOffset>-53340</wp:posOffset>
            </wp:positionH>
            <wp:positionV relativeFrom="paragraph">
              <wp:posOffset>636</wp:posOffset>
            </wp:positionV>
            <wp:extent cx="9134475" cy="4438650"/>
            <wp:effectExtent l="0" t="0" r="9525" b="19050"/>
            <wp:wrapNone/>
            <wp:docPr id="194" name="Objet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E6503" w:rsidRDefault="002E6503" w:rsidP="002B1371">
      <w:pPr>
        <w:jc w:val="both"/>
        <w:rPr>
          <w:rFonts w:ascii="Calibri" w:hAnsi="Calibri" w:cs="Calibri"/>
        </w:rPr>
      </w:pPr>
    </w:p>
    <w:p w:rsidR="002E6503" w:rsidRDefault="002E6503" w:rsidP="002B1371">
      <w:pPr>
        <w:jc w:val="both"/>
        <w:rPr>
          <w:rFonts w:ascii="Calibri" w:hAnsi="Calibri" w:cs="Calibri"/>
        </w:rPr>
      </w:pPr>
    </w:p>
    <w:p w:rsidR="002E6503" w:rsidRDefault="002E6503" w:rsidP="002B1371">
      <w:pPr>
        <w:jc w:val="both"/>
        <w:rPr>
          <w:rFonts w:ascii="Calibri" w:hAnsi="Calibri" w:cs="Calibri"/>
        </w:rPr>
      </w:pPr>
    </w:p>
    <w:p w:rsidR="002E6503" w:rsidRDefault="002E6503" w:rsidP="002B1371">
      <w:pPr>
        <w:jc w:val="both"/>
        <w:rPr>
          <w:rFonts w:ascii="Calibri" w:hAnsi="Calibri" w:cs="Calibri"/>
        </w:rPr>
      </w:pPr>
    </w:p>
    <w:p w:rsidR="002E6503" w:rsidRDefault="002E6503" w:rsidP="002B1371">
      <w:pPr>
        <w:jc w:val="both"/>
        <w:rPr>
          <w:rFonts w:ascii="Calibri" w:hAnsi="Calibri" w:cs="Calibri"/>
        </w:rPr>
      </w:pPr>
    </w:p>
    <w:p w:rsidR="002C47C2" w:rsidRDefault="00FA740E" w:rsidP="00543F65">
      <w:pPr>
        <w:jc w:val="both"/>
        <w:rPr>
          <w:rFonts w:ascii="Calibri" w:hAnsi="Calibri" w:cs="Calibri"/>
        </w:rPr>
      </w:pPr>
      <w:r>
        <w:rPr>
          <w:rFonts w:ascii="Calibri" w:hAnsi="Calibri" w:cs="Calibri"/>
        </w:rPr>
        <w:t>Pour le recrutement des techniciens/agents de maîtrise de la logistique, moins d’un quart des citations se réfèrent à des formations de niveau IV, Bac Pro</w:t>
      </w:r>
      <w:r w:rsidR="003F564B">
        <w:rPr>
          <w:rFonts w:ascii="Calibri" w:hAnsi="Calibri" w:cs="Calibri"/>
        </w:rPr>
        <w:t>fessionnel</w:t>
      </w:r>
      <w:r>
        <w:rPr>
          <w:rFonts w:ascii="Calibri" w:hAnsi="Calibri" w:cs="Calibri"/>
        </w:rPr>
        <w:t xml:space="preserve"> Logistique en tête, et plus de 60% à des formations de niveau III, BTS Transport et prestations logistique</w:t>
      </w:r>
      <w:r w:rsidR="00543F65">
        <w:rPr>
          <w:rFonts w:ascii="Calibri" w:hAnsi="Calibri" w:cs="Calibri"/>
        </w:rPr>
        <w:t>s</w:t>
      </w:r>
      <w:r>
        <w:rPr>
          <w:rFonts w:ascii="Calibri" w:hAnsi="Calibri" w:cs="Calibri"/>
        </w:rPr>
        <w:t xml:space="preserve"> en tête. </w:t>
      </w:r>
    </w:p>
    <w:p w:rsidR="009A65A5" w:rsidRDefault="009A65A5" w:rsidP="00543F65">
      <w:pPr>
        <w:jc w:val="both"/>
        <w:rPr>
          <w:rFonts w:ascii="Calibri" w:hAnsi="Calibri" w:cs="Calibri"/>
        </w:rPr>
      </w:pPr>
    </w:p>
    <w:p w:rsidR="006302FF" w:rsidRDefault="00543F65" w:rsidP="00543F65">
      <w:pPr>
        <w:jc w:val="both"/>
        <w:rPr>
          <w:rFonts w:ascii="Arial Black" w:hAnsi="Arial Black" w:cs="Calibri"/>
          <w:b/>
          <w:bCs/>
          <w:color w:val="632423"/>
        </w:rPr>
      </w:pPr>
      <w:r>
        <w:rPr>
          <w:rFonts w:ascii="Calibri" w:hAnsi="Calibri" w:cs="Calibri"/>
        </w:rPr>
        <w:t>L</w:t>
      </w:r>
      <w:r w:rsidR="00FA740E" w:rsidRPr="00FA740E">
        <w:rPr>
          <w:rFonts w:ascii="Calibri" w:hAnsi="Calibri" w:cs="Calibri"/>
        </w:rPr>
        <w:t xml:space="preserve">e </w:t>
      </w:r>
      <w:r w:rsidRPr="00FA740E">
        <w:rPr>
          <w:rFonts w:ascii="Calibri" w:hAnsi="Calibri" w:cs="Calibri"/>
        </w:rPr>
        <w:t xml:space="preserve">contenu logistique </w:t>
      </w:r>
      <w:r>
        <w:rPr>
          <w:rFonts w:ascii="Calibri" w:hAnsi="Calibri" w:cs="Calibri"/>
        </w:rPr>
        <w:t xml:space="preserve">du programme du </w:t>
      </w:r>
      <w:r w:rsidR="00FA740E" w:rsidRPr="00FA740E">
        <w:rPr>
          <w:rFonts w:ascii="Calibri" w:hAnsi="Calibri" w:cs="Calibri"/>
        </w:rPr>
        <w:t xml:space="preserve">BTS Transport et prestations logistiques </w:t>
      </w:r>
      <w:r>
        <w:rPr>
          <w:rFonts w:ascii="Calibri" w:hAnsi="Calibri" w:cs="Calibri"/>
        </w:rPr>
        <w:t xml:space="preserve">est moins approfondi que celui du </w:t>
      </w:r>
      <w:r w:rsidR="00FA740E" w:rsidRPr="00FA740E">
        <w:rPr>
          <w:rFonts w:ascii="Calibri" w:hAnsi="Calibri" w:cs="Calibri"/>
        </w:rPr>
        <w:t>TSMEL</w:t>
      </w:r>
      <w:r>
        <w:rPr>
          <w:rFonts w:ascii="Calibri" w:hAnsi="Calibri" w:cs="Calibri"/>
        </w:rPr>
        <w:t xml:space="preserve"> ou du DUT GLT ; </w:t>
      </w:r>
      <w:r w:rsidR="005B7779">
        <w:rPr>
          <w:rFonts w:ascii="Calibri" w:hAnsi="Calibri" w:cs="Calibri"/>
        </w:rPr>
        <w:t>n</w:t>
      </w:r>
      <w:r>
        <w:rPr>
          <w:rFonts w:ascii="Calibri" w:hAnsi="Calibri" w:cs="Calibri"/>
        </w:rPr>
        <w:t xml:space="preserve">éanmoins la prédominance de l’offre de formation en </w:t>
      </w:r>
      <w:r w:rsidRPr="00FA740E">
        <w:rPr>
          <w:rFonts w:ascii="Calibri" w:hAnsi="Calibri" w:cs="Calibri"/>
        </w:rPr>
        <w:t>BTS Transport et prestations logistiques</w:t>
      </w:r>
      <w:r>
        <w:rPr>
          <w:rFonts w:ascii="Calibri" w:hAnsi="Calibri" w:cs="Calibri"/>
        </w:rPr>
        <w:t xml:space="preserve">, mieux représenté sur le territoire que les deux autres certifications, concourt vraisemblablement à son succès. </w:t>
      </w:r>
      <w:r w:rsidR="006302FF">
        <w:rPr>
          <w:rFonts w:ascii="Arial Black" w:hAnsi="Arial Black" w:cs="Calibri"/>
          <w:b/>
          <w:bCs/>
          <w:color w:val="632423"/>
        </w:rPr>
        <w:br w:type="page"/>
      </w:r>
    </w:p>
    <w:p w:rsidR="002B1371" w:rsidRPr="005B2EFB" w:rsidRDefault="002C47C2" w:rsidP="002B1371">
      <w:pPr>
        <w:rPr>
          <w:rFonts w:ascii="Arial Black" w:hAnsi="Arial Black" w:cs="Calibri"/>
          <w:b/>
          <w:bCs/>
          <w:color w:val="632423"/>
        </w:rPr>
      </w:pPr>
      <w:r>
        <w:rPr>
          <w:rFonts w:ascii="Arial Black" w:hAnsi="Arial Black" w:cs="Calibri"/>
          <w:b/>
          <w:bCs/>
          <w:color w:val="632423"/>
        </w:rPr>
        <w:t>Recrutements</w:t>
      </w:r>
      <w:r w:rsidR="002B1371" w:rsidRPr="005B2EFB">
        <w:rPr>
          <w:rFonts w:ascii="Arial Black" w:hAnsi="Arial Black" w:cs="Calibri"/>
          <w:b/>
          <w:bCs/>
          <w:color w:val="632423"/>
        </w:rPr>
        <w:t xml:space="preserve"> de cadres de la logistique</w:t>
      </w:r>
      <w:r>
        <w:rPr>
          <w:rFonts w:ascii="Arial Black" w:hAnsi="Arial Black" w:cs="Calibri"/>
          <w:b/>
          <w:bCs/>
          <w:color w:val="632423"/>
        </w:rPr>
        <w:t> : la préférence va aux Bac + 5</w:t>
      </w:r>
    </w:p>
    <w:p w:rsidR="002B1371" w:rsidRPr="002436B1" w:rsidRDefault="002B1371" w:rsidP="002B1371">
      <w:pPr>
        <w:rPr>
          <w:rFonts w:ascii="Calibri" w:hAnsi="Calibri" w:cs="Calibri"/>
          <w:b/>
          <w:color w:val="800000"/>
          <w:sz w:val="28"/>
        </w:rPr>
      </w:pPr>
    </w:p>
    <w:p w:rsidR="002B1371" w:rsidRPr="002436B1" w:rsidRDefault="002B1371" w:rsidP="002B1371">
      <w:pPr>
        <w:jc w:val="center"/>
        <w:rPr>
          <w:rFonts w:ascii="Calibri" w:hAnsi="Calibri" w:cs="Calibri"/>
          <w:b/>
          <w:bCs/>
        </w:rPr>
      </w:pPr>
      <w:r w:rsidRPr="002436B1">
        <w:rPr>
          <w:rFonts w:ascii="Calibri" w:hAnsi="Calibri" w:cs="Calibri"/>
          <w:b/>
          <w:bCs/>
        </w:rPr>
        <w:t>Diplômes et titres privilégiés pour le recrutement de cadres</w:t>
      </w:r>
      <w:r w:rsidR="00031125">
        <w:rPr>
          <w:rFonts w:ascii="Calibri" w:hAnsi="Calibri" w:cs="Calibri"/>
          <w:b/>
          <w:bCs/>
        </w:rPr>
        <w:t xml:space="preserve"> </w:t>
      </w:r>
      <w:r w:rsidRPr="002436B1">
        <w:rPr>
          <w:rFonts w:ascii="Calibri" w:hAnsi="Calibri" w:cs="Calibri"/>
          <w:b/>
          <w:bCs/>
        </w:rPr>
        <w:t>(en % des réponses des établissements de 100 salariés et plus)</w:t>
      </w:r>
    </w:p>
    <w:p w:rsidR="002B1371" w:rsidRPr="002436B1" w:rsidRDefault="002C174A" w:rsidP="002B1371">
      <w:pPr>
        <w:rPr>
          <w:rFonts w:ascii="Calibri" w:hAnsi="Calibri" w:cs="Calibri"/>
        </w:rPr>
      </w:pPr>
      <w:r>
        <w:rPr>
          <w:rFonts w:ascii="Calibri" w:hAnsi="Calibri" w:cs="Calibri"/>
          <w:b/>
          <w:bCs/>
          <w:noProof/>
        </w:rPr>
        <w:drawing>
          <wp:anchor distT="0" distB="0" distL="114300" distR="114300" simplePos="0" relativeHeight="251654144" behindDoc="0" locked="0" layoutInCell="1" allowOverlap="1" wp14:anchorId="281C9E1B" wp14:editId="6CEA3C36">
            <wp:simplePos x="0" y="0"/>
            <wp:positionH relativeFrom="column">
              <wp:posOffset>60960</wp:posOffset>
            </wp:positionH>
            <wp:positionV relativeFrom="paragraph">
              <wp:posOffset>60960</wp:posOffset>
            </wp:positionV>
            <wp:extent cx="9010650" cy="4314825"/>
            <wp:effectExtent l="0" t="0" r="19050" b="9525"/>
            <wp:wrapNone/>
            <wp:docPr id="187" name="Obje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C174A" w:rsidRPr="002C174A" w:rsidRDefault="002C174A" w:rsidP="002B1371">
      <w:pPr>
        <w:jc w:val="both"/>
        <w:rPr>
          <w:rFonts w:ascii="Calibri" w:hAnsi="Calibri" w:cs="Calibri"/>
          <w:sz w:val="16"/>
          <w:szCs w:val="16"/>
        </w:rPr>
      </w:pPr>
    </w:p>
    <w:p w:rsidR="002B1371" w:rsidRPr="002436B1" w:rsidRDefault="00736E4A" w:rsidP="002B1371">
      <w:pPr>
        <w:jc w:val="both"/>
        <w:rPr>
          <w:rFonts w:ascii="Calibri" w:hAnsi="Calibri" w:cs="Calibri"/>
        </w:rPr>
      </w:pPr>
      <w:r>
        <w:rPr>
          <w:rFonts w:ascii="Calibri" w:hAnsi="Calibri" w:cs="Calibri"/>
        </w:rPr>
        <w:t>Les citations des recruteurs de cadres de la logistique en faveur des titres et diplômes spécialisés logistiques sont d’autant plus nombreuses que le</w:t>
      </w:r>
      <w:r w:rsidR="009A65A5">
        <w:rPr>
          <w:rFonts w:ascii="Calibri" w:hAnsi="Calibri" w:cs="Calibri"/>
        </w:rPr>
        <w:t xml:space="preserve"> niveau des formations proposées est élevé, et culminent pour les formations </w:t>
      </w:r>
      <w:r w:rsidR="00C83036">
        <w:rPr>
          <w:rFonts w:ascii="Calibri" w:hAnsi="Calibri" w:cs="Calibri"/>
        </w:rPr>
        <w:t xml:space="preserve">à </w:t>
      </w:r>
      <w:r w:rsidR="009A65A5">
        <w:rPr>
          <w:rFonts w:ascii="Calibri" w:hAnsi="Calibri" w:cs="Calibri"/>
        </w:rPr>
        <w:t>Bac + 5, qui totalisent près de 30% des réponses. A noter que plus d’une fois sur cinq les diplômes à Bac + 4 continuent d’être mentionnés</w:t>
      </w:r>
      <w:r w:rsidR="00513C2D">
        <w:rPr>
          <w:rFonts w:ascii="Calibri" w:hAnsi="Calibri" w:cs="Calibri"/>
        </w:rPr>
        <w:t>,</w:t>
      </w:r>
      <w:r w:rsidR="009A65A5">
        <w:rPr>
          <w:rFonts w:ascii="Calibri" w:hAnsi="Calibri" w:cs="Calibri"/>
        </w:rPr>
        <w:t xml:space="preserve"> alors </w:t>
      </w:r>
      <w:r w:rsidR="00513C2D">
        <w:rPr>
          <w:rFonts w:ascii="Calibri" w:hAnsi="Calibri" w:cs="Calibri"/>
        </w:rPr>
        <w:t>que depuis la</w:t>
      </w:r>
      <w:r w:rsidR="009A65A5">
        <w:rPr>
          <w:rFonts w:ascii="Calibri" w:hAnsi="Calibri" w:cs="Calibri"/>
        </w:rPr>
        <w:t xml:space="preserve"> réforme LMD, </w:t>
      </w:r>
      <w:r w:rsidR="00513C2D">
        <w:rPr>
          <w:rFonts w:ascii="Calibri" w:hAnsi="Calibri" w:cs="Calibri"/>
        </w:rPr>
        <w:t>l’architecture du système d’enseignement supérieur français est basé sur les trois grades :</w:t>
      </w:r>
      <w:r w:rsidR="009A65A5">
        <w:rPr>
          <w:rFonts w:ascii="Calibri" w:hAnsi="Calibri" w:cs="Calibri"/>
        </w:rPr>
        <w:t xml:space="preserve"> licence, master et doctorat. </w:t>
      </w:r>
    </w:p>
    <w:p w:rsidR="002B1371" w:rsidRPr="002436B1" w:rsidRDefault="00513C2D" w:rsidP="002B1371">
      <w:pPr>
        <w:jc w:val="both"/>
        <w:rPr>
          <w:rFonts w:ascii="Calibri" w:hAnsi="Calibri" w:cs="Calibri"/>
        </w:rPr>
      </w:pPr>
      <w:r>
        <w:rPr>
          <w:rFonts w:ascii="Calibri" w:hAnsi="Calibri" w:cs="Calibri"/>
        </w:rPr>
        <w:t xml:space="preserve">Les répondants sont peu nombreux à rechercher des sortants de formation de niveau Bac + 6 voire plus (environ 12% des citations). </w:t>
      </w:r>
    </w:p>
    <w:p w:rsidR="002C47C2" w:rsidRDefault="002C47C2">
      <w:pPr>
        <w:rPr>
          <w:rFonts w:ascii="Arial Black" w:hAnsi="Arial Black" w:cs="Calibri"/>
          <w:b/>
          <w:bCs/>
          <w:color w:val="632423"/>
        </w:rPr>
      </w:pPr>
      <w:r>
        <w:rPr>
          <w:rFonts w:ascii="Arial Black" w:hAnsi="Arial Black" w:cs="Calibri"/>
          <w:b/>
          <w:bCs/>
          <w:color w:val="632423"/>
        </w:rPr>
        <w:br w:type="page"/>
      </w:r>
    </w:p>
    <w:p w:rsidR="002B1371" w:rsidRPr="002C174A" w:rsidRDefault="00624133" w:rsidP="002B1371">
      <w:pPr>
        <w:rPr>
          <w:rFonts w:ascii="Arial Black" w:hAnsi="Arial Black" w:cs="Calibri"/>
          <w:b/>
          <w:bCs/>
          <w:color w:val="632423"/>
        </w:rPr>
      </w:pPr>
      <w:r>
        <w:rPr>
          <w:rFonts w:ascii="Arial Black" w:hAnsi="Arial Black" w:cs="Calibri"/>
          <w:b/>
          <w:bCs/>
          <w:color w:val="632423"/>
        </w:rPr>
        <w:t>Rebond de</w:t>
      </w:r>
      <w:r w:rsidR="002B1371" w:rsidRPr="002C174A">
        <w:rPr>
          <w:rFonts w:ascii="Arial Black" w:hAnsi="Arial Black" w:cs="Calibri"/>
          <w:b/>
          <w:bCs/>
          <w:color w:val="632423"/>
        </w:rPr>
        <w:t xml:space="preserve"> l’apprentissage </w:t>
      </w:r>
      <w:r>
        <w:rPr>
          <w:rFonts w:ascii="Arial Black" w:hAnsi="Arial Black" w:cs="Calibri"/>
          <w:b/>
          <w:bCs/>
          <w:color w:val="632423"/>
        </w:rPr>
        <w:t>en</w:t>
      </w:r>
      <w:r w:rsidR="002B1371" w:rsidRPr="002C174A">
        <w:rPr>
          <w:rFonts w:ascii="Arial Black" w:hAnsi="Arial Black" w:cs="Calibri"/>
          <w:b/>
          <w:bCs/>
          <w:color w:val="632423"/>
        </w:rPr>
        <w:t xml:space="preserve"> logistique</w:t>
      </w:r>
      <w:r>
        <w:rPr>
          <w:rFonts w:ascii="Arial Black" w:hAnsi="Arial Black" w:cs="Calibri"/>
          <w:b/>
          <w:bCs/>
          <w:color w:val="632423"/>
        </w:rPr>
        <w:t xml:space="preserve"> en 2015</w:t>
      </w:r>
      <w:r w:rsidR="002B1371" w:rsidRPr="002C174A">
        <w:rPr>
          <w:rFonts w:ascii="Arial Black" w:hAnsi="Arial Black" w:cs="Calibri"/>
          <w:b/>
          <w:bCs/>
          <w:color w:val="632423"/>
        </w:rPr>
        <w:t xml:space="preserve"> </w:t>
      </w:r>
    </w:p>
    <w:p w:rsidR="002B1371" w:rsidRPr="002436B1" w:rsidRDefault="002B1371" w:rsidP="002B1371">
      <w:pPr>
        <w:rPr>
          <w:rFonts w:ascii="Calibri" w:hAnsi="Calibri" w:cs="Calibri"/>
        </w:rPr>
      </w:pPr>
    </w:p>
    <w:p w:rsidR="002B1371" w:rsidRPr="002436B1" w:rsidRDefault="002B1371" w:rsidP="002B1371">
      <w:pPr>
        <w:jc w:val="center"/>
        <w:rPr>
          <w:rFonts w:ascii="Calibri" w:hAnsi="Calibri" w:cs="Calibri"/>
          <w:b/>
          <w:bCs/>
        </w:rPr>
      </w:pPr>
      <w:r w:rsidRPr="002436B1">
        <w:rPr>
          <w:rFonts w:ascii="Calibri" w:hAnsi="Calibri" w:cs="Calibri"/>
          <w:b/>
          <w:bCs/>
        </w:rPr>
        <w:t>Personnel logistique en contrat d’apprentissage (en pourcentage d’établissements)</w:t>
      </w:r>
    </w:p>
    <w:p w:rsidR="002B1371" w:rsidRPr="002436B1" w:rsidRDefault="002B1371" w:rsidP="002B1371">
      <w:pPr>
        <w:jc w:val="center"/>
        <w:rPr>
          <w:rFonts w:ascii="Calibri" w:hAnsi="Calibri" w:cs="Calibri"/>
        </w:rPr>
      </w:pPr>
    </w:p>
    <w:p w:rsidR="00C7249A" w:rsidRDefault="002B1371" w:rsidP="00C7249A">
      <w:pPr>
        <w:rPr>
          <w:rFonts w:ascii="Calibri" w:hAnsi="Calibri" w:cs="Calibri"/>
          <w:i/>
          <w:iCs/>
        </w:rPr>
      </w:pPr>
      <w:r w:rsidRPr="002436B1">
        <w:rPr>
          <w:rFonts w:ascii="Calibri" w:hAnsi="Calibri" w:cs="Calibri"/>
          <w:i/>
          <w:iCs/>
        </w:rPr>
        <w:t>Etablissements de 100 salariés et plus</w:t>
      </w:r>
      <w:r w:rsidR="00C7249A" w:rsidRPr="00C7249A">
        <w:rPr>
          <w:rFonts w:ascii="Calibri" w:hAnsi="Calibri" w:cs="Calibri"/>
          <w:i/>
          <w:iCs/>
        </w:rPr>
        <w:t xml:space="preserve"> </w:t>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r>
      <w:r w:rsidR="00C7249A">
        <w:rPr>
          <w:rFonts w:ascii="Calibri" w:hAnsi="Calibri" w:cs="Calibri"/>
          <w:i/>
          <w:iCs/>
        </w:rPr>
        <w:tab/>
        <w:t xml:space="preserve">       </w:t>
      </w:r>
      <w:r w:rsidR="00C7249A" w:rsidRPr="002436B1">
        <w:rPr>
          <w:rFonts w:ascii="Calibri" w:hAnsi="Calibri" w:cs="Calibri"/>
          <w:i/>
          <w:iCs/>
        </w:rPr>
        <w:t>Etablissements de 50 à 99 salariés</w:t>
      </w:r>
    </w:p>
    <w:p w:rsidR="002B1371" w:rsidRPr="002436B1" w:rsidRDefault="00AD6615" w:rsidP="00C7249A">
      <w:pPr>
        <w:ind w:left="-540"/>
        <w:rPr>
          <w:rFonts w:ascii="Calibri" w:hAnsi="Calibri" w:cs="Calibri"/>
        </w:rPr>
      </w:pPr>
      <w:r>
        <w:rPr>
          <w:rFonts w:ascii="Calibri" w:hAnsi="Calibri" w:cs="Calibri"/>
          <w:noProof/>
        </w:rPr>
        <w:drawing>
          <wp:inline distT="0" distB="0" distL="0" distR="0" wp14:anchorId="7114CB9D" wp14:editId="45D44ABC">
            <wp:extent cx="7172325" cy="4105275"/>
            <wp:effectExtent l="0" t="0" r="9525" b="9525"/>
            <wp:docPr id="50" name="Obje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C7249A">
        <w:rPr>
          <w:rFonts w:ascii="Calibri" w:hAnsi="Calibri" w:cs="Calibri"/>
        </w:rPr>
        <w:t xml:space="preserve">  </w:t>
      </w:r>
      <w:r w:rsidR="00C7249A">
        <w:rPr>
          <w:rFonts w:ascii="Calibri" w:hAnsi="Calibri" w:cs="Calibri"/>
          <w:noProof/>
        </w:rPr>
        <w:drawing>
          <wp:inline distT="0" distB="0" distL="0" distR="0" wp14:anchorId="7C43DC25" wp14:editId="52616D14">
            <wp:extent cx="2162175" cy="3133725"/>
            <wp:effectExtent l="0" t="0" r="9525" b="9525"/>
            <wp:docPr id="87" name="Obje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F5248" w:rsidRPr="002436B1" w:rsidRDefault="002F5248" w:rsidP="002B1371">
      <w:pPr>
        <w:jc w:val="center"/>
        <w:rPr>
          <w:rFonts w:ascii="Calibri" w:hAnsi="Calibri" w:cs="Calibri"/>
          <w:i/>
          <w:iCs/>
        </w:rPr>
      </w:pPr>
    </w:p>
    <w:p w:rsidR="002B1371" w:rsidRDefault="00C258F6" w:rsidP="002B1371">
      <w:pPr>
        <w:jc w:val="both"/>
        <w:rPr>
          <w:rFonts w:ascii="Calibri" w:hAnsi="Calibri" w:cs="Calibri"/>
        </w:rPr>
      </w:pPr>
      <w:r>
        <w:rPr>
          <w:rFonts w:ascii="Calibri" w:hAnsi="Calibri" w:cs="Calibri"/>
        </w:rPr>
        <w:t>L</w:t>
      </w:r>
      <w:r w:rsidR="00624133">
        <w:rPr>
          <w:rFonts w:ascii="Calibri" w:hAnsi="Calibri" w:cs="Calibri"/>
        </w:rPr>
        <w:t xml:space="preserve">a proportion d’établissements déclarant employer des apprentis sur les fonctions logistiques </w:t>
      </w:r>
      <w:r>
        <w:rPr>
          <w:rFonts w:ascii="Calibri" w:hAnsi="Calibri" w:cs="Calibri"/>
        </w:rPr>
        <w:t xml:space="preserve">repart à la hausse en 2015, et ce pour tous les secteurs d’activité. En particulier, celle-ci augmente de 12 points pour les prestataires transport-logistique de 100 salariés et plus. </w:t>
      </w:r>
    </w:p>
    <w:p w:rsidR="00624133" w:rsidRPr="002436B1" w:rsidRDefault="00624133" w:rsidP="002B1371">
      <w:pPr>
        <w:jc w:val="both"/>
        <w:rPr>
          <w:rFonts w:ascii="Calibri" w:hAnsi="Calibri" w:cs="Calibri"/>
        </w:rPr>
      </w:pPr>
    </w:p>
    <w:p w:rsidR="002B1371" w:rsidRPr="002436B1" w:rsidRDefault="002B1371" w:rsidP="002B1371">
      <w:pPr>
        <w:jc w:val="center"/>
        <w:rPr>
          <w:rFonts w:ascii="Calibri" w:hAnsi="Calibri" w:cs="Calibri"/>
          <w:b/>
          <w:bCs/>
        </w:rPr>
      </w:pPr>
    </w:p>
    <w:p w:rsidR="00624133" w:rsidRDefault="00624133">
      <w:pPr>
        <w:rPr>
          <w:rFonts w:ascii="Arial Black" w:hAnsi="Arial Black" w:cs="Calibri"/>
          <w:b/>
          <w:bCs/>
          <w:color w:val="632423"/>
        </w:rPr>
      </w:pPr>
      <w:r>
        <w:rPr>
          <w:rFonts w:ascii="Arial Black" w:hAnsi="Arial Black" w:cs="Calibri"/>
          <w:b/>
          <w:bCs/>
          <w:color w:val="632423"/>
        </w:rPr>
        <w:br w:type="page"/>
      </w:r>
    </w:p>
    <w:p w:rsidR="002B1371" w:rsidRPr="004A15CB" w:rsidRDefault="00BD3320" w:rsidP="002B1371">
      <w:pPr>
        <w:rPr>
          <w:rFonts w:ascii="Arial Black" w:hAnsi="Arial Black" w:cs="Calibri"/>
          <w:b/>
          <w:bCs/>
          <w:color w:val="632423"/>
        </w:rPr>
      </w:pPr>
      <w:r>
        <w:rPr>
          <w:rFonts w:ascii="Arial Black" w:hAnsi="Arial Black" w:cs="Calibri"/>
          <w:b/>
          <w:bCs/>
          <w:color w:val="632423"/>
        </w:rPr>
        <w:t>En logistique, les contrats d’apprentissage apparaissent comme particulièrement adaptés aux emplois de t</w:t>
      </w:r>
      <w:r w:rsidR="0080095B">
        <w:rPr>
          <w:rFonts w:ascii="Arial Black" w:hAnsi="Arial Black" w:cs="Calibri"/>
          <w:b/>
          <w:bCs/>
          <w:color w:val="632423"/>
        </w:rPr>
        <w:t xml:space="preserve">echniciens et agents de maîtrise </w:t>
      </w:r>
    </w:p>
    <w:p w:rsidR="002B1371" w:rsidRPr="002436B1" w:rsidRDefault="002B1371"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Postes occupés par le personnel logistique en contrat d’apprentissage</w:t>
      </w:r>
      <w:r w:rsidR="00F7380F">
        <w:rPr>
          <w:rFonts w:ascii="Calibri" w:hAnsi="Calibri" w:cs="Calibri"/>
          <w:b/>
          <w:bCs/>
        </w:rPr>
        <w:t xml:space="preserve"> </w:t>
      </w:r>
      <w:r w:rsidRPr="002436B1">
        <w:rPr>
          <w:rFonts w:ascii="Calibri" w:hAnsi="Calibri" w:cs="Calibri"/>
          <w:b/>
          <w:bCs/>
        </w:rPr>
        <w:t>(en pourcentage d’établissements utilisant l’apprentissage)</w:t>
      </w:r>
    </w:p>
    <w:p w:rsidR="00F24821" w:rsidRDefault="00F24821" w:rsidP="00F7380F">
      <w:pPr>
        <w:rPr>
          <w:rFonts w:ascii="Calibri" w:hAnsi="Calibri" w:cs="Calibri"/>
          <w:b/>
          <w:bCs/>
        </w:rPr>
      </w:pPr>
    </w:p>
    <w:p w:rsidR="00F7380F" w:rsidRPr="002436B1" w:rsidRDefault="00601725" w:rsidP="00F7380F">
      <w:pPr>
        <w:rPr>
          <w:rFonts w:ascii="Calibri" w:hAnsi="Calibri" w:cs="Calibri"/>
          <w:i/>
          <w:iCs/>
        </w:rPr>
      </w:pPr>
      <w:r>
        <w:rPr>
          <w:rFonts w:ascii="Calibri" w:hAnsi="Calibri" w:cs="Calibri"/>
          <w:b/>
          <w:bCs/>
          <w:noProof/>
        </w:rPr>
        <w:drawing>
          <wp:anchor distT="0" distB="0" distL="114300" distR="114300" simplePos="0" relativeHeight="251655168" behindDoc="0" locked="0" layoutInCell="1" allowOverlap="1" wp14:anchorId="7EA278D8" wp14:editId="3A02FBD7">
            <wp:simplePos x="0" y="0"/>
            <wp:positionH relativeFrom="column">
              <wp:posOffset>4632960</wp:posOffset>
            </wp:positionH>
            <wp:positionV relativeFrom="paragraph">
              <wp:posOffset>167005</wp:posOffset>
            </wp:positionV>
            <wp:extent cx="5143500" cy="4381500"/>
            <wp:effectExtent l="0" t="0" r="19050" b="19050"/>
            <wp:wrapNone/>
            <wp:docPr id="188" name="Obje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133C68">
        <w:rPr>
          <w:rFonts w:ascii="Calibri" w:hAnsi="Calibri" w:cs="Calibri"/>
          <w:b/>
          <w:bCs/>
          <w:noProof/>
        </w:rPr>
        <w:drawing>
          <wp:anchor distT="0" distB="0" distL="114300" distR="114300" simplePos="0" relativeHeight="251664384" behindDoc="0" locked="0" layoutInCell="1" allowOverlap="1" wp14:anchorId="1F844D3C" wp14:editId="3193C061">
            <wp:simplePos x="0" y="0"/>
            <wp:positionH relativeFrom="column">
              <wp:posOffset>156210</wp:posOffset>
            </wp:positionH>
            <wp:positionV relativeFrom="paragraph">
              <wp:posOffset>167005</wp:posOffset>
            </wp:positionV>
            <wp:extent cx="3990975" cy="4114800"/>
            <wp:effectExtent l="0" t="0" r="9525" b="19050"/>
            <wp:wrapNone/>
            <wp:docPr id="89" name="Obje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2B1371" w:rsidRPr="002436B1">
        <w:rPr>
          <w:rFonts w:ascii="Calibri" w:hAnsi="Calibri" w:cs="Calibri"/>
          <w:i/>
          <w:iCs/>
        </w:rPr>
        <w:t>Etablissements de 100 salariés et plus</w:t>
      </w:r>
      <w:r w:rsidR="00F7380F" w:rsidRPr="00F7380F">
        <w:rPr>
          <w:rFonts w:ascii="Calibri" w:hAnsi="Calibri" w:cs="Calibri"/>
          <w:i/>
          <w:iCs/>
        </w:rPr>
        <w:t xml:space="preserve"> </w:t>
      </w:r>
      <w:r w:rsidR="002933BD">
        <w:rPr>
          <w:rFonts w:ascii="Calibri" w:hAnsi="Calibri" w:cs="Calibri"/>
          <w:i/>
          <w:iCs/>
        </w:rPr>
        <w:t xml:space="preserve">                                                                         </w:t>
      </w:r>
      <w:r w:rsidR="00F7380F" w:rsidRPr="002436B1">
        <w:rPr>
          <w:rFonts w:ascii="Calibri" w:hAnsi="Calibri" w:cs="Calibri"/>
          <w:i/>
          <w:iCs/>
        </w:rPr>
        <w:t>Etablissements de 50 à 99 salariés</w:t>
      </w: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2B1371" w:rsidRPr="002436B1" w:rsidRDefault="002B1371" w:rsidP="002B1371">
      <w:pPr>
        <w:rPr>
          <w:rFonts w:ascii="Calibri" w:hAnsi="Calibri" w:cs="Calibri"/>
        </w:rPr>
      </w:pPr>
    </w:p>
    <w:p w:rsidR="00F7380F" w:rsidRPr="00601725" w:rsidRDefault="00601725" w:rsidP="00601725">
      <w:pPr>
        <w:jc w:val="both"/>
        <w:rPr>
          <w:rFonts w:ascii="Calibri" w:hAnsi="Calibri" w:cs="Calibri"/>
        </w:rPr>
      </w:pPr>
      <w:r w:rsidRPr="00601725">
        <w:rPr>
          <w:rFonts w:ascii="Calibri" w:hAnsi="Calibri" w:cs="Calibri"/>
        </w:rPr>
        <w:t>4</w:t>
      </w:r>
      <w:r w:rsidR="00BD3320">
        <w:rPr>
          <w:rFonts w:ascii="Calibri" w:hAnsi="Calibri" w:cs="Calibri"/>
        </w:rPr>
        <w:t>4</w:t>
      </w:r>
      <w:r w:rsidRPr="00601725">
        <w:rPr>
          <w:rFonts w:ascii="Calibri" w:hAnsi="Calibri" w:cs="Calibri"/>
        </w:rPr>
        <w:t xml:space="preserve">% des </w:t>
      </w:r>
      <w:r>
        <w:rPr>
          <w:rFonts w:ascii="Calibri" w:hAnsi="Calibri" w:cs="Calibri"/>
        </w:rPr>
        <w:t xml:space="preserve">établissements </w:t>
      </w:r>
      <w:r w:rsidR="00BD3320">
        <w:rPr>
          <w:rFonts w:ascii="Calibri" w:hAnsi="Calibri" w:cs="Calibri"/>
        </w:rPr>
        <w:t xml:space="preserve">de 100 salariés et plus </w:t>
      </w:r>
      <w:r>
        <w:rPr>
          <w:rFonts w:ascii="Calibri" w:hAnsi="Calibri" w:cs="Calibri"/>
        </w:rPr>
        <w:t xml:space="preserve">qui recourent à l’apprentissage pour des emplois logistiques </w:t>
      </w:r>
      <w:r w:rsidR="00BD3320">
        <w:rPr>
          <w:rFonts w:ascii="Calibri" w:hAnsi="Calibri" w:cs="Calibri"/>
        </w:rPr>
        <w:t xml:space="preserve">l’utilisent pour des </w:t>
      </w:r>
      <w:r w:rsidR="00BF5A2D">
        <w:rPr>
          <w:rFonts w:ascii="Calibri" w:hAnsi="Calibri" w:cs="Calibri"/>
        </w:rPr>
        <w:t xml:space="preserve">postes de </w:t>
      </w:r>
      <w:r w:rsidR="00BD3320">
        <w:rPr>
          <w:rFonts w:ascii="Calibri" w:hAnsi="Calibri" w:cs="Calibri"/>
        </w:rPr>
        <w:t xml:space="preserve">techniciens et agents de maîtrise. </w:t>
      </w:r>
    </w:p>
    <w:p w:rsidR="00F7380F" w:rsidRPr="00EF7FC2" w:rsidRDefault="00F7380F" w:rsidP="00EF7FC2">
      <w:pPr>
        <w:jc w:val="both"/>
        <w:rPr>
          <w:rFonts w:ascii="Calibri" w:hAnsi="Calibri" w:cs="Calibri"/>
        </w:rPr>
      </w:pPr>
    </w:p>
    <w:p w:rsidR="00F7380F" w:rsidRPr="00EF7FC2" w:rsidRDefault="00F7380F" w:rsidP="00EF7FC2">
      <w:pPr>
        <w:jc w:val="both"/>
        <w:rPr>
          <w:rFonts w:ascii="Calibri" w:hAnsi="Calibri" w:cs="Calibri"/>
        </w:rPr>
      </w:pPr>
    </w:p>
    <w:p w:rsidR="002B1371" w:rsidRPr="00CF5C7B" w:rsidRDefault="00E85C23" w:rsidP="002B1371">
      <w:pPr>
        <w:rPr>
          <w:rFonts w:ascii="Arial Black" w:hAnsi="Arial Black" w:cs="Calibri"/>
          <w:b/>
          <w:bCs/>
          <w:color w:val="632423"/>
        </w:rPr>
      </w:pPr>
      <w:r>
        <w:rPr>
          <w:rFonts w:ascii="Arial Black" w:hAnsi="Arial Black" w:cs="Calibri"/>
          <w:b/>
          <w:bCs/>
          <w:color w:val="632423"/>
        </w:rPr>
        <w:t>Pas de baisse en vue des</w:t>
      </w:r>
      <w:r w:rsidR="002B1371" w:rsidRPr="00CF5C7B">
        <w:rPr>
          <w:rFonts w:ascii="Arial Black" w:hAnsi="Arial Black" w:cs="Calibri"/>
          <w:b/>
          <w:bCs/>
          <w:color w:val="632423"/>
        </w:rPr>
        <w:t xml:space="preserve"> effecti</w:t>
      </w:r>
      <w:r>
        <w:rPr>
          <w:rFonts w:ascii="Arial Black" w:hAnsi="Arial Black" w:cs="Calibri"/>
          <w:b/>
          <w:bCs/>
          <w:color w:val="632423"/>
        </w:rPr>
        <w:t>fs logistiques en apprentissage</w:t>
      </w:r>
    </w:p>
    <w:p w:rsidR="002B1371" w:rsidRPr="002436B1" w:rsidRDefault="002B1371" w:rsidP="002B1371">
      <w:pPr>
        <w:jc w:val="both"/>
        <w:rPr>
          <w:rFonts w:ascii="Calibri" w:hAnsi="Calibri" w:cs="Calibri"/>
          <w:b/>
          <w:color w:val="800000"/>
          <w:sz w:val="28"/>
        </w:rPr>
      </w:pPr>
    </w:p>
    <w:p w:rsidR="002B1371" w:rsidRPr="002436B1" w:rsidRDefault="002B1371" w:rsidP="002B1371">
      <w:pPr>
        <w:jc w:val="center"/>
        <w:rPr>
          <w:rFonts w:ascii="Calibri" w:hAnsi="Calibri" w:cs="Calibri"/>
          <w:b/>
          <w:bCs/>
        </w:rPr>
      </w:pPr>
      <w:r w:rsidRPr="002436B1">
        <w:rPr>
          <w:rFonts w:ascii="Calibri" w:hAnsi="Calibri" w:cs="Calibri"/>
          <w:b/>
          <w:bCs/>
        </w:rPr>
        <w:t>Evolution des effectifs logistiques en apprentissage envisagée en 201</w:t>
      </w:r>
      <w:r w:rsidR="00BF5A2D">
        <w:rPr>
          <w:rFonts w:ascii="Calibri" w:hAnsi="Calibri" w:cs="Calibri"/>
          <w:b/>
          <w:bCs/>
        </w:rPr>
        <w:t>5</w:t>
      </w:r>
      <w:r w:rsidR="00CF5C7B">
        <w:rPr>
          <w:rFonts w:ascii="Calibri" w:hAnsi="Calibri" w:cs="Calibri"/>
          <w:b/>
          <w:bCs/>
        </w:rPr>
        <w:t xml:space="preserve"> </w:t>
      </w:r>
      <w:r w:rsidRPr="002436B1">
        <w:rPr>
          <w:rFonts w:ascii="Calibri" w:hAnsi="Calibri" w:cs="Calibri"/>
          <w:b/>
          <w:bCs/>
        </w:rPr>
        <w:t>(en pourcentage d’établissements)</w:t>
      </w:r>
    </w:p>
    <w:p w:rsidR="002B1371" w:rsidRPr="002436B1" w:rsidRDefault="002B1371" w:rsidP="002B1371">
      <w:pPr>
        <w:jc w:val="center"/>
        <w:rPr>
          <w:rFonts w:ascii="Calibri" w:hAnsi="Calibri" w:cs="Calibri"/>
          <w:b/>
          <w:bCs/>
        </w:rPr>
      </w:pPr>
    </w:p>
    <w:p w:rsidR="002B1371" w:rsidRPr="002436B1" w:rsidRDefault="00630199" w:rsidP="002B1371">
      <w:pPr>
        <w:rPr>
          <w:rFonts w:ascii="Calibri" w:hAnsi="Calibri" w:cs="Calibri"/>
          <w:i/>
          <w:iCs/>
        </w:rPr>
      </w:pPr>
      <w:r>
        <w:rPr>
          <w:rFonts w:ascii="Calibri" w:hAnsi="Calibri" w:cs="Calibri"/>
          <w:i/>
          <w:iCs/>
        </w:rPr>
        <w:t xml:space="preserve">                                                        </w:t>
      </w:r>
      <w:r w:rsidR="002B1371" w:rsidRPr="002436B1">
        <w:rPr>
          <w:rFonts w:ascii="Calibri" w:hAnsi="Calibri" w:cs="Calibri"/>
          <w:i/>
          <w:iCs/>
        </w:rPr>
        <w:t>Etablissement</w:t>
      </w:r>
      <w:r w:rsidR="00B0732A">
        <w:rPr>
          <w:rFonts w:ascii="Calibri" w:hAnsi="Calibri" w:cs="Calibri"/>
          <w:i/>
          <w:iCs/>
        </w:rPr>
        <w:t>s</w:t>
      </w:r>
      <w:r w:rsidR="002B1371" w:rsidRPr="002436B1">
        <w:rPr>
          <w:rFonts w:ascii="Calibri" w:hAnsi="Calibri" w:cs="Calibri"/>
          <w:i/>
          <w:iCs/>
        </w:rPr>
        <w:t xml:space="preserve"> de 100 salariés et plus</w:t>
      </w:r>
      <w:r w:rsidRPr="00630199">
        <w:rPr>
          <w:rFonts w:ascii="Calibri" w:hAnsi="Calibri" w:cs="Calibri"/>
          <w:i/>
          <w:iCs/>
        </w:rPr>
        <w:t xml:space="preserve"> </w:t>
      </w:r>
      <w:r>
        <w:rPr>
          <w:rFonts w:ascii="Calibri" w:hAnsi="Calibri" w:cs="Calibri"/>
          <w:i/>
          <w:iCs/>
        </w:rPr>
        <w:t xml:space="preserve">                                                   </w:t>
      </w:r>
      <w:r w:rsidRPr="002436B1">
        <w:rPr>
          <w:rFonts w:ascii="Calibri" w:hAnsi="Calibri" w:cs="Calibri"/>
          <w:i/>
          <w:iCs/>
        </w:rPr>
        <w:t>Etablissement</w:t>
      </w:r>
      <w:r w:rsidR="00B0732A">
        <w:rPr>
          <w:rFonts w:ascii="Calibri" w:hAnsi="Calibri" w:cs="Calibri"/>
          <w:i/>
          <w:iCs/>
        </w:rPr>
        <w:t>s</w:t>
      </w:r>
      <w:r w:rsidRPr="002436B1">
        <w:rPr>
          <w:rFonts w:ascii="Calibri" w:hAnsi="Calibri" w:cs="Calibri"/>
          <w:i/>
          <w:iCs/>
        </w:rPr>
        <w:t xml:space="preserve"> de 50 à 99 salariés</w:t>
      </w:r>
    </w:p>
    <w:tbl>
      <w:tblPr>
        <w:tblStyle w:val="Listemoyenne1-Accent5"/>
        <w:tblW w:w="0" w:type="auto"/>
        <w:tblLayout w:type="fixed"/>
        <w:tblLook w:val="04A0" w:firstRow="1" w:lastRow="0" w:firstColumn="1" w:lastColumn="0" w:noHBand="0" w:noVBand="1"/>
      </w:tblPr>
      <w:tblGrid>
        <w:gridCol w:w="2943"/>
        <w:gridCol w:w="1478"/>
        <w:gridCol w:w="1370"/>
        <w:gridCol w:w="1370"/>
        <w:gridCol w:w="1370"/>
        <w:gridCol w:w="820"/>
        <w:gridCol w:w="1449"/>
        <w:gridCol w:w="1370"/>
        <w:gridCol w:w="1370"/>
        <w:gridCol w:w="1370"/>
      </w:tblGrid>
      <w:tr w:rsidR="00630199" w:rsidRPr="00CF5C7B" w:rsidTr="006301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4BACC6" w:themeColor="accent5"/>
            </w:tcBorders>
            <w:vAlign w:val="center"/>
          </w:tcPr>
          <w:p w:rsidR="00630199" w:rsidRPr="00CF5C7B" w:rsidRDefault="00630199" w:rsidP="00630199">
            <w:pPr>
              <w:rPr>
                <w:rFonts w:ascii="Calibri" w:hAnsi="Calibri" w:cs="Calibri"/>
                <w:b w:val="0"/>
                <w:bCs w:val="0"/>
                <w:sz w:val="20"/>
                <w:szCs w:val="20"/>
              </w:rPr>
            </w:pPr>
          </w:p>
        </w:tc>
        <w:tc>
          <w:tcPr>
            <w:tcW w:w="1478" w:type="dxa"/>
            <w:tcBorders>
              <w:top w:val="single" w:sz="8" w:space="0" w:color="4BACC6" w:themeColor="accent5"/>
            </w:tcBorders>
            <w:vAlign w:val="center"/>
          </w:tcPr>
          <w:p w:rsidR="00630199" w:rsidRPr="00CF5C7B"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Augmentation</w:t>
            </w:r>
          </w:p>
        </w:tc>
        <w:tc>
          <w:tcPr>
            <w:tcW w:w="1370" w:type="dxa"/>
            <w:tcBorders>
              <w:top w:val="single" w:sz="8" w:space="0" w:color="4BACC6" w:themeColor="accent5"/>
            </w:tcBorders>
            <w:vAlign w:val="center"/>
          </w:tcPr>
          <w:p w:rsidR="00630199" w:rsidRPr="00CF5C7B"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Stabilité</w:t>
            </w:r>
          </w:p>
        </w:tc>
        <w:tc>
          <w:tcPr>
            <w:tcW w:w="1370" w:type="dxa"/>
            <w:tcBorders>
              <w:top w:val="single" w:sz="8" w:space="0" w:color="4BACC6" w:themeColor="accent5"/>
            </w:tcBorders>
            <w:vAlign w:val="center"/>
          </w:tcPr>
          <w:p w:rsidR="00630199" w:rsidRPr="00CF5C7B"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Diminution</w:t>
            </w:r>
          </w:p>
        </w:tc>
        <w:tc>
          <w:tcPr>
            <w:tcW w:w="1370" w:type="dxa"/>
            <w:tcBorders>
              <w:top w:val="single" w:sz="8" w:space="0" w:color="4BACC6" w:themeColor="accent5"/>
            </w:tcBorders>
            <w:vAlign w:val="center"/>
          </w:tcPr>
          <w:p w:rsidR="00630199" w:rsidRPr="00CF5C7B"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Ne sait pas</w:t>
            </w:r>
          </w:p>
        </w:tc>
        <w:tc>
          <w:tcPr>
            <w:tcW w:w="820" w:type="dxa"/>
            <w:tcBorders>
              <w:bottom w:val="nil"/>
            </w:tcBorders>
            <w:shd w:val="clear" w:color="auto" w:fill="auto"/>
            <w:vAlign w:val="center"/>
          </w:tcPr>
          <w:p w:rsidR="00630199" w:rsidRPr="00CF5C7B"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1449" w:type="dxa"/>
            <w:tcBorders>
              <w:top w:val="single" w:sz="8" w:space="0" w:color="4BACC6" w:themeColor="accent5"/>
            </w:tcBorders>
            <w:vAlign w:val="center"/>
          </w:tcPr>
          <w:p w:rsidR="00630199" w:rsidRPr="00630199"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Augmentation</w:t>
            </w:r>
          </w:p>
        </w:tc>
        <w:tc>
          <w:tcPr>
            <w:tcW w:w="1370" w:type="dxa"/>
            <w:tcBorders>
              <w:top w:val="single" w:sz="8" w:space="0" w:color="4BACC6" w:themeColor="accent5"/>
            </w:tcBorders>
            <w:vAlign w:val="center"/>
          </w:tcPr>
          <w:p w:rsidR="00630199" w:rsidRPr="00630199"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Stabilité</w:t>
            </w:r>
          </w:p>
        </w:tc>
        <w:tc>
          <w:tcPr>
            <w:tcW w:w="1370" w:type="dxa"/>
            <w:tcBorders>
              <w:top w:val="single" w:sz="8" w:space="0" w:color="4BACC6" w:themeColor="accent5"/>
            </w:tcBorders>
            <w:vAlign w:val="center"/>
          </w:tcPr>
          <w:p w:rsidR="00630199" w:rsidRPr="00630199"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Diminution</w:t>
            </w:r>
          </w:p>
        </w:tc>
        <w:tc>
          <w:tcPr>
            <w:tcW w:w="1370" w:type="dxa"/>
            <w:tcBorders>
              <w:top w:val="single" w:sz="8" w:space="0" w:color="4BACC6" w:themeColor="accent5"/>
            </w:tcBorders>
            <w:vAlign w:val="center"/>
          </w:tcPr>
          <w:p w:rsidR="00630199" w:rsidRPr="00630199" w:rsidRDefault="00630199" w:rsidP="006301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Ne sait pas</w:t>
            </w:r>
          </w:p>
        </w:tc>
      </w:tr>
      <w:tr w:rsidR="00630199" w:rsidRPr="00CF5C7B" w:rsidTr="006301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Cadres</w:t>
            </w:r>
          </w:p>
        </w:tc>
        <w:tc>
          <w:tcPr>
            <w:tcW w:w="1478"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2</w:t>
            </w:r>
            <w:r w:rsidR="00630199" w:rsidRPr="00CF5C7B">
              <w:rPr>
                <w:rFonts w:ascii="Calibri" w:hAnsi="Calibri" w:cs="Calibri"/>
                <w:bCs/>
                <w:sz w:val="20"/>
                <w:szCs w:val="20"/>
              </w:rPr>
              <w:t>%</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53</w:t>
            </w:r>
            <w:r w:rsidR="00630199" w:rsidRPr="00CF5C7B">
              <w:rPr>
                <w:rFonts w:ascii="Calibri" w:hAnsi="Calibri" w:cs="Calibri"/>
                <w:bCs/>
                <w:sz w:val="20"/>
                <w:szCs w:val="20"/>
              </w:rPr>
              <w:t>%</w:t>
            </w:r>
          </w:p>
        </w:tc>
        <w:tc>
          <w:tcPr>
            <w:tcW w:w="1370" w:type="dxa"/>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45</w:t>
            </w:r>
            <w:r w:rsidR="00630199" w:rsidRPr="00CF5C7B">
              <w:rPr>
                <w:rFonts w:ascii="Calibri" w:hAnsi="Calibri" w:cs="Calibr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71</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29</w:t>
            </w:r>
            <w:r w:rsidR="00630199" w:rsidRPr="00630199">
              <w:rPr>
                <w:rFonts w:ascii="Calibri" w:eastAsiaTheme="majorEastAsia" w:hAnsi="Calibri" w:cs="Calibri"/>
                <w:bCs/>
                <w:sz w:val="20"/>
                <w:szCs w:val="20"/>
              </w:rPr>
              <w:t>%</w:t>
            </w:r>
          </w:p>
        </w:tc>
      </w:tr>
      <w:tr w:rsidR="00630199" w:rsidRPr="00CF5C7B" w:rsidTr="00630199">
        <w:trPr>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Techniciens/Agents de maîtrise</w:t>
            </w:r>
          </w:p>
        </w:tc>
        <w:tc>
          <w:tcPr>
            <w:tcW w:w="1478" w:type="dxa"/>
            <w:vAlign w:val="center"/>
          </w:tcPr>
          <w:p w:rsidR="00630199" w:rsidRPr="00CF5C7B"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w:t>
            </w:r>
            <w:r w:rsidR="00630199" w:rsidRPr="00CF5C7B">
              <w:rPr>
                <w:rFonts w:ascii="Calibri" w:hAnsi="Calibri" w:cs="Calibri"/>
                <w:bCs/>
                <w:sz w:val="20"/>
                <w:szCs w:val="20"/>
              </w:rPr>
              <w:t>%</w:t>
            </w:r>
          </w:p>
        </w:tc>
        <w:tc>
          <w:tcPr>
            <w:tcW w:w="1370" w:type="dxa"/>
            <w:vAlign w:val="center"/>
          </w:tcPr>
          <w:p w:rsidR="00630199" w:rsidRPr="00CF5C7B"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w:t>
            </w:r>
            <w:r w:rsidR="00630199" w:rsidRPr="00CF5C7B">
              <w:rPr>
                <w:rFonts w:ascii="Calibri" w:hAnsi="Calibri" w:cs="Calibri"/>
                <w:bCs/>
                <w:sz w:val="20"/>
                <w:szCs w:val="20"/>
              </w:rPr>
              <w:t>6%</w:t>
            </w:r>
          </w:p>
        </w:tc>
        <w:tc>
          <w:tcPr>
            <w:tcW w:w="1370" w:type="dxa"/>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CF5C7B"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40</w:t>
            </w:r>
            <w:r w:rsidR="00630199" w:rsidRPr="00CF5C7B">
              <w:rPr>
                <w:rFonts w:ascii="Calibri" w:hAnsi="Calibri" w:cs="Calibr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4</w:t>
            </w:r>
            <w:r w:rsidR="00630199" w:rsidRPr="00630199">
              <w:rPr>
                <w:rFonts w:ascii="Calibri" w:eastAsiaTheme="majorEastAsia" w:hAnsi="Calibri" w:cs="Calibri"/>
                <w:bCs/>
                <w:sz w:val="20"/>
                <w:szCs w:val="20"/>
              </w:rPr>
              <w:t>%</w:t>
            </w:r>
          </w:p>
        </w:tc>
        <w:tc>
          <w:tcPr>
            <w:tcW w:w="1370"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68</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28</w:t>
            </w:r>
            <w:r w:rsidR="00630199" w:rsidRPr="00630199">
              <w:rPr>
                <w:rFonts w:ascii="Calibri" w:eastAsiaTheme="majorEastAsia" w:hAnsi="Calibri" w:cs="Calibri"/>
                <w:bCs/>
                <w:sz w:val="20"/>
                <w:szCs w:val="20"/>
              </w:rPr>
              <w:t>%</w:t>
            </w:r>
          </w:p>
        </w:tc>
      </w:tr>
      <w:tr w:rsidR="00630199" w:rsidRPr="00CF5C7B" w:rsidTr="006301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Magasiniers</w:t>
            </w:r>
          </w:p>
        </w:tc>
        <w:tc>
          <w:tcPr>
            <w:tcW w:w="1478"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3</w:t>
            </w:r>
            <w:r w:rsidR="00630199" w:rsidRPr="00CF5C7B">
              <w:rPr>
                <w:rFonts w:ascii="Calibri" w:hAnsi="Calibri" w:cs="Calibri"/>
                <w:bCs/>
                <w:sz w:val="20"/>
                <w:szCs w:val="20"/>
              </w:rPr>
              <w:t>%</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53</w:t>
            </w:r>
            <w:r w:rsidR="00630199" w:rsidRPr="00CF5C7B">
              <w:rPr>
                <w:rFonts w:ascii="Calibri" w:hAnsi="Calibri" w:cs="Calibri"/>
                <w:bCs/>
                <w:sz w:val="20"/>
                <w:szCs w:val="20"/>
              </w:rPr>
              <w:t>%</w:t>
            </w:r>
          </w:p>
        </w:tc>
        <w:tc>
          <w:tcPr>
            <w:tcW w:w="1370" w:type="dxa"/>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44</w:t>
            </w:r>
            <w:r w:rsidR="00630199" w:rsidRPr="00CF5C7B">
              <w:rPr>
                <w:rFonts w:ascii="Calibri" w:hAnsi="Calibri" w:cs="Calibr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71</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29</w:t>
            </w:r>
            <w:r w:rsidR="00630199" w:rsidRPr="00630199">
              <w:rPr>
                <w:rFonts w:ascii="Calibri" w:eastAsiaTheme="majorEastAsia" w:hAnsi="Calibri" w:cs="Calibri"/>
                <w:bCs/>
                <w:sz w:val="20"/>
                <w:szCs w:val="20"/>
              </w:rPr>
              <w:t>%</w:t>
            </w:r>
          </w:p>
        </w:tc>
      </w:tr>
      <w:tr w:rsidR="00630199" w:rsidRPr="00CF5C7B" w:rsidTr="00630199">
        <w:trPr>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Caristes</w:t>
            </w:r>
          </w:p>
        </w:tc>
        <w:tc>
          <w:tcPr>
            <w:tcW w:w="1478" w:type="dxa"/>
            <w:vAlign w:val="center"/>
          </w:tcPr>
          <w:p w:rsidR="00630199" w:rsidRPr="00CF5C7B"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3</w:t>
            </w:r>
            <w:r w:rsidR="00630199" w:rsidRPr="00CF5C7B">
              <w:rPr>
                <w:rFonts w:ascii="Calibri" w:hAnsi="Calibri" w:cs="Calibri"/>
                <w:bCs/>
                <w:sz w:val="20"/>
                <w:szCs w:val="20"/>
              </w:rPr>
              <w:t>%</w:t>
            </w:r>
          </w:p>
        </w:tc>
        <w:tc>
          <w:tcPr>
            <w:tcW w:w="1370" w:type="dxa"/>
            <w:vAlign w:val="center"/>
          </w:tcPr>
          <w:p w:rsidR="00630199" w:rsidRPr="00CF5C7B" w:rsidRDefault="00BF5A2D" w:rsidP="00BF5A2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53</w:t>
            </w:r>
            <w:r w:rsidR="00630199" w:rsidRPr="00CF5C7B">
              <w:rPr>
                <w:rFonts w:ascii="Calibri" w:hAnsi="Calibri" w:cs="Calibri"/>
                <w:bCs/>
                <w:sz w:val="20"/>
                <w:szCs w:val="20"/>
              </w:rPr>
              <w:t>%</w:t>
            </w:r>
          </w:p>
        </w:tc>
        <w:tc>
          <w:tcPr>
            <w:tcW w:w="1370" w:type="dxa"/>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CF5C7B"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44</w:t>
            </w:r>
            <w:r w:rsidR="00630199" w:rsidRPr="00CF5C7B">
              <w:rPr>
                <w:rFonts w:ascii="Calibri" w:hAnsi="Calibri" w:cs="Calibr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4</w:t>
            </w:r>
            <w:r w:rsidR="00630199" w:rsidRPr="00630199">
              <w:rPr>
                <w:rFonts w:ascii="Calibri" w:eastAsiaTheme="majorEastAsia" w:hAnsi="Calibri" w:cs="Calibri"/>
                <w:bCs/>
                <w:sz w:val="20"/>
                <w:szCs w:val="20"/>
              </w:rPr>
              <w:t>%</w:t>
            </w:r>
          </w:p>
        </w:tc>
        <w:tc>
          <w:tcPr>
            <w:tcW w:w="1370"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68</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28</w:t>
            </w:r>
            <w:r w:rsidR="00630199" w:rsidRPr="00630199">
              <w:rPr>
                <w:rFonts w:ascii="Calibri" w:eastAsiaTheme="majorEastAsia" w:hAnsi="Calibri" w:cs="Calibri"/>
                <w:bCs/>
                <w:sz w:val="20"/>
                <w:szCs w:val="20"/>
              </w:rPr>
              <w:t>%</w:t>
            </w:r>
          </w:p>
        </w:tc>
      </w:tr>
      <w:tr w:rsidR="00630199" w:rsidRPr="00CF5C7B" w:rsidTr="006301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Préparateurs de commandes</w:t>
            </w:r>
          </w:p>
        </w:tc>
        <w:tc>
          <w:tcPr>
            <w:tcW w:w="1478" w:type="dxa"/>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2%</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53</w:t>
            </w:r>
            <w:r w:rsidR="00630199" w:rsidRPr="00CF5C7B">
              <w:rPr>
                <w:rFonts w:ascii="Calibri" w:hAnsi="Calibri" w:cs="Calibri"/>
                <w:bCs/>
                <w:sz w:val="20"/>
                <w:szCs w:val="20"/>
              </w:rPr>
              <w:t>%</w:t>
            </w:r>
          </w:p>
        </w:tc>
        <w:tc>
          <w:tcPr>
            <w:tcW w:w="1370" w:type="dxa"/>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CF5C7B" w:rsidRDefault="00BF5A2D" w:rsidP="00BF5A2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45</w:t>
            </w:r>
            <w:r w:rsidR="00630199" w:rsidRPr="00CF5C7B">
              <w:rPr>
                <w:rFonts w:ascii="Calibri" w:hAnsi="Calibri" w:cs="Calibr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4</w:t>
            </w:r>
            <w:r w:rsidR="00630199" w:rsidRPr="00630199">
              <w:rPr>
                <w:rFonts w:ascii="Calibri" w:eastAsiaTheme="majorEastAsia" w:hAnsi="Calibri" w:cs="Calibri"/>
                <w:bCs/>
                <w:sz w:val="20"/>
                <w:szCs w:val="20"/>
              </w:rPr>
              <w:t>%</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66</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29</w:t>
            </w:r>
            <w:r w:rsidR="00630199" w:rsidRPr="00630199">
              <w:rPr>
                <w:rFonts w:ascii="Calibri" w:eastAsiaTheme="majorEastAsia" w:hAnsi="Calibri" w:cs="Calibri"/>
                <w:bCs/>
                <w:sz w:val="20"/>
                <w:szCs w:val="20"/>
              </w:rPr>
              <w:t>%</w:t>
            </w:r>
          </w:p>
        </w:tc>
      </w:tr>
      <w:tr w:rsidR="00630199" w:rsidRPr="00CF5C7B" w:rsidTr="00630199">
        <w:trPr>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Manutentionnaires</w:t>
            </w:r>
          </w:p>
        </w:tc>
        <w:tc>
          <w:tcPr>
            <w:tcW w:w="1478" w:type="dxa"/>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2%</w:t>
            </w:r>
          </w:p>
        </w:tc>
        <w:tc>
          <w:tcPr>
            <w:tcW w:w="1370" w:type="dxa"/>
            <w:vAlign w:val="center"/>
          </w:tcPr>
          <w:p w:rsidR="00630199" w:rsidRPr="00CF5C7B"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52</w:t>
            </w:r>
            <w:r w:rsidR="00630199" w:rsidRPr="00CF5C7B">
              <w:rPr>
                <w:rFonts w:ascii="Calibri" w:hAnsi="Calibri" w:cs="Calibri"/>
                <w:bCs/>
                <w:sz w:val="20"/>
                <w:szCs w:val="20"/>
              </w:rPr>
              <w:t>%</w:t>
            </w:r>
          </w:p>
        </w:tc>
        <w:tc>
          <w:tcPr>
            <w:tcW w:w="1370" w:type="dxa"/>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17147D" w:rsidRDefault="00BF5A2D" w:rsidP="006301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7147D">
              <w:rPr>
                <w:rFonts w:asciiTheme="minorHAnsi" w:hAnsiTheme="minorHAnsi" w:cstheme="minorHAnsi"/>
                <w:bCs/>
                <w:sz w:val="20"/>
                <w:szCs w:val="20"/>
              </w:rPr>
              <w:t>46</w:t>
            </w:r>
            <w:r w:rsidR="00630199" w:rsidRPr="0017147D">
              <w:rPr>
                <w:rFonts w:asciiTheme="minorHAnsi" w:hAnsiTheme="minorHAnsi" w:cstheme="minorHAns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71</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29</w:t>
            </w:r>
            <w:r w:rsidR="00630199" w:rsidRPr="00630199">
              <w:rPr>
                <w:rFonts w:ascii="Calibri" w:eastAsiaTheme="majorEastAsia" w:hAnsi="Calibri" w:cs="Calibri"/>
                <w:bCs/>
                <w:sz w:val="20"/>
                <w:szCs w:val="20"/>
              </w:rPr>
              <w:t>%</w:t>
            </w:r>
          </w:p>
        </w:tc>
      </w:tr>
      <w:tr w:rsidR="00630199" w:rsidRPr="00CF5C7B" w:rsidTr="006301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630199" w:rsidRPr="00CF5C7B" w:rsidRDefault="00630199" w:rsidP="00630199">
            <w:pPr>
              <w:rPr>
                <w:rFonts w:ascii="Calibri" w:hAnsi="Calibri" w:cs="Calibri"/>
                <w:b w:val="0"/>
                <w:bCs w:val="0"/>
                <w:sz w:val="20"/>
                <w:szCs w:val="20"/>
              </w:rPr>
            </w:pPr>
            <w:r w:rsidRPr="00CF5C7B">
              <w:rPr>
                <w:rFonts w:ascii="Calibri" w:hAnsi="Calibri" w:cs="Calibri"/>
                <w:b w:val="0"/>
                <w:bCs w:val="0"/>
                <w:sz w:val="20"/>
                <w:szCs w:val="20"/>
              </w:rPr>
              <w:t>Agents polyvalents d’entrepôt</w:t>
            </w:r>
          </w:p>
        </w:tc>
        <w:tc>
          <w:tcPr>
            <w:tcW w:w="1478" w:type="dxa"/>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2%</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54</w:t>
            </w:r>
            <w:r w:rsidR="00630199" w:rsidRPr="00CF5C7B">
              <w:rPr>
                <w:rFonts w:ascii="Calibri" w:hAnsi="Calibri" w:cs="Calibri"/>
                <w:bCs/>
                <w:sz w:val="20"/>
                <w:szCs w:val="20"/>
              </w:rPr>
              <w:t>%</w:t>
            </w:r>
          </w:p>
        </w:tc>
        <w:tc>
          <w:tcPr>
            <w:tcW w:w="1370" w:type="dxa"/>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CF5C7B">
              <w:rPr>
                <w:rFonts w:ascii="Calibri" w:hAnsi="Calibri" w:cs="Calibri"/>
                <w:bCs/>
                <w:sz w:val="20"/>
                <w:szCs w:val="20"/>
              </w:rPr>
              <w:t>0%</w:t>
            </w:r>
          </w:p>
        </w:tc>
        <w:tc>
          <w:tcPr>
            <w:tcW w:w="1370" w:type="dxa"/>
            <w:vAlign w:val="center"/>
          </w:tcPr>
          <w:p w:rsidR="00630199" w:rsidRPr="00CF5C7B" w:rsidRDefault="00BF5A2D"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Pr>
                <w:rFonts w:ascii="Calibri" w:hAnsi="Calibri" w:cs="Calibri"/>
                <w:bCs/>
                <w:sz w:val="20"/>
                <w:szCs w:val="20"/>
              </w:rPr>
              <w:t>44</w:t>
            </w:r>
            <w:r w:rsidR="00630199" w:rsidRPr="00CF5C7B">
              <w:rPr>
                <w:rFonts w:ascii="Calibri" w:hAnsi="Calibri" w:cs="Calibri"/>
                <w:bCs/>
                <w:sz w:val="20"/>
                <w:szCs w:val="20"/>
              </w:rPr>
              <w:t>%</w:t>
            </w:r>
          </w:p>
        </w:tc>
        <w:tc>
          <w:tcPr>
            <w:tcW w:w="820" w:type="dxa"/>
            <w:tcBorders>
              <w:top w:val="nil"/>
              <w:bottom w:val="nil"/>
            </w:tcBorders>
            <w:shd w:val="clear" w:color="auto" w:fill="auto"/>
            <w:vAlign w:val="center"/>
          </w:tcPr>
          <w:p w:rsidR="00630199" w:rsidRPr="00CF5C7B"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p>
        </w:tc>
        <w:tc>
          <w:tcPr>
            <w:tcW w:w="1449"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0</w:t>
            </w:r>
            <w:r w:rsidR="00630199" w:rsidRPr="00630199">
              <w:rPr>
                <w:rFonts w:ascii="Calibri" w:eastAsiaTheme="majorEastAsia" w:hAnsi="Calibri" w:cs="Calibri"/>
                <w:bCs/>
                <w:sz w:val="20"/>
                <w:szCs w:val="20"/>
              </w:rPr>
              <w:t>%</w:t>
            </w:r>
          </w:p>
        </w:tc>
        <w:tc>
          <w:tcPr>
            <w:tcW w:w="1370" w:type="dxa"/>
            <w:vAlign w:val="center"/>
          </w:tcPr>
          <w:p w:rsidR="00630199" w:rsidRPr="00630199" w:rsidRDefault="00433AFD" w:rsidP="00433AFD">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73</w:t>
            </w:r>
            <w:r w:rsidR="00630199" w:rsidRPr="00630199">
              <w:rPr>
                <w:rFonts w:ascii="Calibri" w:eastAsiaTheme="majorEastAsia" w:hAnsi="Calibri" w:cs="Calibri"/>
                <w:bCs/>
                <w:sz w:val="20"/>
                <w:szCs w:val="20"/>
              </w:rPr>
              <w:t>%</w:t>
            </w:r>
          </w:p>
        </w:tc>
        <w:tc>
          <w:tcPr>
            <w:tcW w:w="1370" w:type="dxa"/>
            <w:vAlign w:val="center"/>
          </w:tcPr>
          <w:p w:rsidR="00630199" w:rsidRPr="00630199" w:rsidRDefault="00630199"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sidRPr="00630199">
              <w:rPr>
                <w:rFonts w:ascii="Calibri" w:eastAsiaTheme="majorEastAsia" w:hAnsi="Calibri" w:cs="Calibri"/>
                <w:bCs/>
                <w:sz w:val="20"/>
                <w:szCs w:val="20"/>
              </w:rPr>
              <w:t>0%</w:t>
            </w:r>
          </w:p>
        </w:tc>
        <w:tc>
          <w:tcPr>
            <w:tcW w:w="1370" w:type="dxa"/>
            <w:vAlign w:val="center"/>
          </w:tcPr>
          <w:p w:rsidR="00630199" w:rsidRPr="00630199" w:rsidRDefault="00433AFD" w:rsidP="00630199">
            <w:p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sz w:val="20"/>
                <w:szCs w:val="20"/>
              </w:rPr>
            </w:pPr>
            <w:r>
              <w:rPr>
                <w:rFonts w:ascii="Calibri" w:eastAsiaTheme="majorEastAsia" w:hAnsi="Calibri" w:cs="Calibri"/>
                <w:bCs/>
                <w:sz w:val="20"/>
                <w:szCs w:val="20"/>
              </w:rPr>
              <w:t>27</w:t>
            </w:r>
            <w:r w:rsidR="00630199" w:rsidRPr="00630199">
              <w:rPr>
                <w:rFonts w:ascii="Calibri" w:eastAsiaTheme="majorEastAsia" w:hAnsi="Calibri" w:cs="Calibri"/>
                <w:bCs/>
                <w:sz w:val="20"/>
                <w:szCs w:val="20"/>
              </w:rPr>
              <w:t>%</w:t>
            </w:r>
          </w:p>
        </w:tc>
      </w:tr>
    </w:tbl>
    <w:p w:rsidR="002B1371" w:rsidRPr="002436B1" w:rsidRDefault="002B1371" w:rsidP="002B1371">
      <w:pPr>
        <w:rPr>
          <w:rFonts w:ascii="Calibri" w:hAnsi="Calibri" w:cs="Calibri"/>
        </w:rPr>
      </w:pPr>
    </w:p>
    <w:p w:rsidR="00B0732A" w:rsidRDefault="00E85C23" w:rsidP="00E85C23">
      <w:pPr>
        <w:jc w:val="both"/>
        <w:rPr>
          <w:rFonts w:ascii="Calibri" w:hAnsi="Calibri" w:cs="Calibri"/>
          <w:b/>
          <w:bCs/>
        </w:rPr>
      </w:pPr>
      <w:r>
        <w:rPr>
          <w:rFonts w:ascii="Calibri" w:hAnsi="Calibri" w:cs="Calibri"/>
        </w:rPr>
        <w:t xml:space="preserve">Quelle que soit leur taille, les établissements sont plus nombreux à tabler en 2015 sur une augmentation du nombre d’apprentis en logistique que sur une baisse. C’est particulièrement le cas pour les postes de techniciens et agents de maîtrise de la logistique </w:t>
      </w:r>
      <w:r w:rsidR="00C01438">
        <w:rPr>
          <w:rFonts w:ascii="Calibri" w:hAnsi="Calibri" w:cs="Calibri"/>
        </w:rPr>
        <w:t xml:space="preserve">pour lesquels 4% des établissements prévoient d’employer davantage d’apprentis, et quasiment aucun </w:t>
      </w:r>
      <w:r w:rsidR="00E37076">
        <w:rPr>
          <w:rFonts w:ascii="Calibri" w:hAnsi="Calibri" w:cs="Calibri"/>
        </w:rPr>
        <w:t>n’en emploierait moins.</w:t>
      </w:r>
    </w:p>
    <w:p w:rsidR="00B0732A" w:rsidRDefault="00B0732A" w:rsidP="002B1371">
      <w:pPr>
        <w:jc w:val="center"/>
        <w:rPr>
          <w:rFonts w:ascii="Calibri" w:hAnsi="Calibri" w:cs="Calibri"/>
          <w:b/>
          <w:bCs/>
        </w:rPr>
      </w:pPr>
    </w:p>
    <w:p w:rsidR="002B1371" w:rsidRPr="002436B1" w:rsidRDefault="002B1371" w:rsidP="002B1371">
      <w:pPr>
        <w:jc w:val="center"/>
        <w:rPr>
          <w:rFonts w:ascii="Calibri" w:hAnsi="Calibri" w:cs="Calibri"/>
          <w:b/>
          <w:bCs/>
        </w:rPr>
      </w:pPr>
      <w:r w:rsidRPr="002436B1">
        <w:rPr>
          <w:rFonts w:ascii="Calibri" w:hAnsi="Calibri" w:cs="Calibri"/>
          <w:b/>
          <w:bCs/>
        </w:rPr>
        <w:t xml:space="preserve">Mesures susceptibles d’encourager l’apprentissage en logistique </w:t>
      </w:r>
    </w:p>
    <w:p w:rsidR="002B1371" w:rsidRPr="002436B1" w:rsidRDefault="002B1371" w:rsidP="002B1371">
      <w:pPr>
        <w:jc w:val="center"/>
        <w:rPr>
          <w:rFonts w:ascii="Calibri" w:hAnsi="Calibri" w:cs="Calibri"/>
          <w:b/>
          <w:bCs/>
        </w:rPr>
      </w:pPr>
      <w:r w:rsidRPr="002436B1">
        <w:rPr>
          <w:rFonts w:ascii="Calibri" w:hAnsi="Calibri" w:cs="Calibri"/>
          <w:b/>
          <w:bCs/>
        </w:rPr>
        <w:t>(en % d’établissements)</w:t>
      </w:r>
    </w:p>
    <w:p w:rsidR="00B0732A" w:rsidRPr="002436B1" w:rsidRDefault="00B0732A" w:rsidP="002B1371">
      <w:pPr>
        <w:jc w:val="both"/>
        <w:rPr>
          <w:rFonts w:ascii="Calibri" w:hAnsi="Calibri" w:cs="Calibri"/>
          <w:highlight w:val="yellow"/>
        </w:rPr>
      </w:pPr>
    </w:p>
    <w:p w:rsidR="002B1371" w:rsidRPr="00630199" w:rsidRDefault="00630199" w:rsidP="002B1371">
      <w:pPr>
        <w:jc w:val="both"/>
        <w:rPr>
          <w:rFonts w:ascii="Calibri" w:hAnsi="Calibri" w:cs="Calibri"/>
          <w:i/>
          <w:iCs/>
          <w:sz w:val="22"/>
        </w:rPr>
      </w:pPr>
      <w:r>
        <w:rPr>
          <w:rFonts w:ascii="Calibri" w:hAnsi="Calibri" w:cs="Calibri"/>
          <w:i/>
          <w:iCs/>
          <w:sz w:val="22"/>
        </w:rPr>
        <w:t xml:space="preserve">                                                                             </w:t>
      </w:r>
      <w:r w:rsidR="002B1371" w:rsidRPr="00630199">
        <w:rPr>
          <w:rFonts w:ascii="Calibri" w:hAnsi="Calibri" w:cs="Calibri"/>
          <w:i/>
          <w:iCs/>
          <w:sz w:val="22"/>
        </w:rPr>
        <w:t>Etablissements de 100 salariés et plus</w:t>
      </w:r>
      <w:r w:rsidRPr="00630199">
        <w:rPr>
          <w:rFonts w:ascii="Calibri" w:hAnsi="Calibri" w:cs="Calibri"/>
          <w:i/>
          <w:iCs/>
          <w:sz w:val="22"/>
        </w:rPr>
        <w:t xml:space="preserve">          </w:t>
      </w:r>
      <w:r w:rsidR="00497263">
        <w:rPr>
          <w:rFonts w:ascii="Calibri" w:hAnsi="Calibri" w:cs="Calibri"/>
          <w:i/>
          <w:iCs/>
          <w:sz w:val="22"/>
        </w:rPr>
        <w:t xml:space="preserve">                           </w:t>
      </w:r>
      <w:r w:rsidR="00937C8D">
        <w:rPr>
          <w:rFonts w:ascii="Calibri" w:hAnsi="Calibri" w:cs="Calibri"/>
          <w:i/>
          <w:iCs/>
          <w:sz w:val="22"/>
        </w:rPr>
        <w:t xml:space="preserve">                            </w:t>
      </w:r>
      <w:r w:rsidRPr="00630199">
        <w:rPr>
          <w:rFonts w:ascii="Calibri" w:hAnsi="Calibri" w:cs="Calibri"/>
          <w:i/>
          <w:iCs/>
          <w:sz w:val="22"/>
        </w:rPr>
        <w:t xml:space="preserve"> Etablissements de 50 à 99 salariés</w:t>
      </w:r>
    </w:p>
    <w:tbl>
      <w:tblPr>
        <w:tblStyle w:val="Listemoyenne1-Accent3"/>
        <w:tblW w:w="13831" w:type="dxa"/>
        <w:tblLayout w:type="fixed"/>
        <w:tblLook w:val="04A0" w:firstRow="1" w:lastRow="0" w:firstColumn="1" w:lastColumn="0" w:noHBand="0" w:noVBand="1"/>
      </w:tblPr>
      <w:tblGrid>
        <w:gridCol w:w="3619"/>
        <w:gridCol w:w="888"/>
        <w:gridCol w:w="889"/>
        <w:gridCol w:w="889"/>
        <w:gridCol w:w="888"/>
        <w:gridCol w:w="889"/>
        <w:gridCol w:w="889"/>
        <w:gridCol w:w="888"/>
        <w:gridCol w:w="889"/>
        <w:gridCol w:w="437"/>
        <w:gridCol w:w="888"/>
        <w:gridCol w:w="889"/>
        <w:gridCol w:w="889"/>
      </w:tblGrid>
      <w:tr w:rsidR="00630199" w:rsidRPr="00630199" w:rsidTr="00B0732A">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619" w:type="dxa"/>
            <w:tcBorders>
              <w:top w:val="single" w:sz="8" w:space="0" w:color="9BBB59" w:themeColor="accent3"/>
            </w:tcBorders>
            <w:noWrap/>
            <w:vAlign w:val="center"/>
          </w:tcPr>
          <w:p w:rsidR="00630199" w:rsidRPr="00630199" w:rsidRDefault="00630199" w:rsidP="000B6DD0">
            <w:pPr>
              <w:rPr>
                <w:rFonts w:ascii="Calibri" w:hAnsi="Calibri" w:cs="Calibri"/>
                <w:b w:val="0"/>
                <w:bCs w:val="0"/>
                <w:sz w:val="20"/>
                <w:szCs w:val="20"/>
              </w:rPr>
            </w:pPr>
          </w:p>
        </w:tc>
        <w:tc>
          <w:tcPr>
            <w:tcW w:w="888"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IAA</w:t>
            </w:r>
          </w:p>
        </w:tc>
        <w:tc>
          <w:tcPr>
            <w:tcW w:w="889"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PHAR</w:t>
            </w:r>
          </w:p>
        </w:tc>
        <w:tc>
          <w:tcPr>
            <w:tcW w:w="889"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AUTO</w:t>
            </w:r>
          </w:p>
        </w:tc>
        <w:tc>
          <w:tcPr>
            <w:tcW w:w="888"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IEM</w:t>
            </w:r>
          </w:p>
        </w:tc>
        <w:tc>
          <w:tcPr>
            <w:tcW w:w="889"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CHIM</w:t>
            </w:r>
          </w:p>
        </w:tc>
        <w:tc>
          <w:tcPr>
            <w:tcW w:w="889"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COM</w:t>
            </w:r>
          </w:p>
        </w:tc>
        <w:tc>
          <w:tcPr>
            <w:tcW w:w="888"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TRP</w:t>
            </w:r>
          </w:p>
        </w:tc>
        <w:tc>
          <w:tcPr>
            <w:tcW w:w="889" w:type="dxa"/>
            <w:tcBorders>
              <w:top w:val="single" w:sz="8" w:space="0" w:color="9BBB59" w:themeColor="accent3"/>
            </w:tcBorders>
            <w:noWrap/>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Total</w:t>
            </w:r>
          </w:p>
        </w:tc>
        <w:tc>
          <w:tcPr>
            <w:tcW w:w="437" w:type="dxa"/>
            <w:tcBorders>
              <w:bottom w:val="nil"/>
            </w:tcBorders>
            <w:shd w:val="clear" w:color="auto" w:fill="auto"/>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888" w:type="dxa"/>
            <w:tcBorders>
              <w:top w:val="single" w:sz="8" w:space="0" w:color="9BBB59" w:themeColor="accent3"/>
            </w:tcBorders>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COM</w:t>
            </w:r>
          </w:p>
        </w:tc>
        <w:tc>
          <w:tcPr>
            <w:tcW w:w="889" w:type="dxa"/>
            <w:tcBorders>
              <w:top w:val="single" w:sz="8" w:space="0" w:color="9BBB59" w:themeColor="accent3"/>
            </w:tcBorders>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TRP</w:t>
            </w:r>
          </w:p>
        </w:tc>
        <w:tc>
          <w:tcPr>
            <w:tcW w:w="889" w:type="dxa"/>
            <w:tcBorders>
              <w:top w:val="single" w:sz="8" w:space="0" w:color="9BBB59" w:themeColor="accent3"/>
            </w:tcBorders>
            <w:vAlign w:val="center"/>
          </w:tcPr>
          <w:p w:rsidR="00630199" w:rsidRPr="00630199" w:rsidRDefault="00630199" w:rsidP="000B6D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sz w:val="20"/>
                <w:szCs w:val="20"/>
              </w:rPr>
            </w:pPr>
            <w:r w:rsidRPr="00630199">
              <w:rPr>
                <w:rFonts w:ascii="Calibri" w:hAnsi="Calibri" w:cs="Calibri"/>
                <w:bCs/>
                <w:sz w:val="20"/>
                <w:szCs w:val="20"/>
              </w:rPr>
              <w:t>Total</w:t>
            </w:r>
          </w:p>
        </w:tc>
      </w:tr>
      <w:tr w:rsidR="00E37076" w:rsidRPr="0017147D" w:rsidTr="0017147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619" w:type="dxa"/>
            <w:noWrap/>
            <w:vAlign w:val="center"/>
          </w:tcPr>
          <w:p w:rsidR="00E37076" w:rsidRPr="00630199" w:rsidRDefault="00E37076" w:rsidP="000B6DD0">
            <w:pPr>
              <w:rPr>
                <w:rFonts w:ascii="Calibri" w:hAnsi="Calibri" w:cs="Calibri"/>
                <w:b w:val="0"/>
                <w:bCs w:val="0"/>
                <w:sz w:val="20"/>
                <w:szCs w:val="20"/>
              </w:rPr>
            </w:pPr>
            <w:r w:rsidRPr="00630199">
              <w:rPr>
                <w:rFonts w:ascii="Calibri" w:hAnsi="Calibri" w:cs="Calibri"/>
                <w:b w:val="0"/>
                <w:bCs w:val="0"/>
                <w:sz w:val="20"/>
                <w:szCs w:val="20"/>
              </w:rPr>
              <w:t>Avantages financiers</w:t>
            </w:r>
          </w:p>
        </w:tc>
        <w:tc>
          <w:tcPr>
            <w:tcW w:w="888"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23%</w:t>
            </w:r>
          </w:p>
        </w:tc>
        <w:tc>
          <w:tcPr>
            <w:tcW w:w="889"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9%</w:t>
            </w:r>
          </w:p>
        </w:tc>
        <w:tc>
          <w:tcPr>
            <w:tcW w:w="889"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w:t>
            </w:r>
          </w:p>
        </w:tc>
        <w:tc>
          <w:tcPr>
            <w:tcW w:w="888"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24%</w:t>
            </w:r>
          </w:p>
        </w:tc>
        <w:tc>
          <w:tcPr>
            <w:tcW w:w="889"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27%</w:t>
            </w:r>
          </w:p>
        </w:tc>
        <w:tc>
          <w:tcPr>
            <w:tcW w:w="889"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25%</w:t>
            </w:r>
          </w:p>
        </w:tc>
        <w:tc>
          <w:tcPr>
            <w:tcW w:w="888"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8%</w:t>
            </w:r>
          </w:p>
        </w:tc>
        <w:tc>
          <w:tcPr>
            <w:tcW w:w="889" w:type="dxa"/>
            <w:noWrap/>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20%</w:t>
            </w:r>
          </w:p>
        </w:tc>
        <w:tc>
          <w:tcPr>
            <w:tcW w:w="437" w:type="dxa"/>
            <w:tcBorders>
              <w:top w:val="nil"/>
              <w:bottom w:val="nil"/>
            </w:tcBorders>
            <w:shd w:val="clear" w:color="auto" w:fill="auto"/>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888" w:type="dxa"/>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15%</w:t>
            </w:r>
          </w:p>
        </w:tc>
        <w:tc>
          <w:tcPr>
            <w:tcW w:w="889" w:type="dxa"/>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11%</w:t>
            </w:r>
          </w:p>
        </w:tc>
        <w:tc>
          <w:tcPr>
            <w:tcW w:w="889" w:type="dxa"/>
            <w:vAlign w:val="center"/>
          </w:tcPr>
          <w:p w:rsidR="00E37076" w:rsidRPr="0017147D" w:rsidRDefault="00E37076" w:rsidP="001714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14%</w:t>
            </w:r>
          </w:p>
        </w:tc>
      </w:tr>
      <w:tr w:rsidR="00E37076" w:rsidRPr="0017147D" w:rsidTr="0017147D">
        <w:trPr>
          <w:trHeight w:val="488"/>
        </w:trPr>
        <w:tc>
          <w:tcPr>
            <w:cnfStyle w:val="001000000000" w:firstRow="0" w:lastRow="0" w:firstColumn="1" w:lastColumn="0" w:oddVBand="0" w:evenVBand="0" w:oddHBand="0" w:evenHBand="0" w:firstRowFirstColumn="0" w:firstRowLastColumn="0" w:lastRowFirstColumn="0" w:lastRowLastColumn="0"/>
            <w:tcW w:w="3619" w:type="dxa"/>
            <w:noWrap/>
            <w:vAlign w:val="center"/>
          </w:tcPr>
          <w:p w:rsidR="00E37076" w:rsidRPr="00630199" w:rsidRDefault="00E37076" w:rsidP="000B6DD0">
            <w:pPr>
              <w:rPr>
                <w:rFonts w:ascii="Calibri" w:hAnsi="Calibri" w:cs="Calibri"/>
                <w:b w:val="0"/>
                <w:bCs w:val="0"/>
                <w:sz w:val="20"/>
                <w:szCs w:val="20"/>
              </w:rPr>
            </w:pPr>
            <w:r w:rsidRPr="00630199">
              <w:rPr>
                <w:rFonts w:ascii="Calibri" w:hAnsi="Calibri" w:cs="Calibri"/>
                <w:b w:val="0"/>
                <w:bCs w:val="0"/>
                <w:sz w:val="20"/>
                <w:szCs w:val="20"/>
              </w:rPr>
              <w:t>Meilleur accompagnement dans la recherche et le suivi des candidats</w:t>
            </w:r>
          </w:p>
        </w:tc>
        <w:tc>
          <w:tcPr>
            <w:tcW w:w="888"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30%</w:t>
            </w:r>
          </w:p>
        </w:tc>
        <w:tc>
          <w:tcPr>
            <w:tcW w:w="889"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28%</w:t>
            </w:r>
          </w:p>
        </w:tc>
        <w:tc>
          <w:tcPr>
            <w:tcW w:w="889"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14%</w:t>
            </w:r>
          </w:p>
        </w:tc>
        <w:tc>
          <w:tcPr>
            <w:tcW w:w="888"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15%</w:t>
            </w:r>
          </w:p>
        </w:tc>
        <w:tc>
          <w:tcPr>
            <w:tcW w:w="889"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18%</w:t>
            </w:r>
          </w:p>
        </w:tc>
        <w:tc>
          <w:tcPr>
            <w:tcW w:w="889"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11%</w:t>
            </w:r>
          </w:p>
        </w:tc>
        <w:tc>
          <w:tcPr>
            <w:tcW w:w="888"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7%</w:t>
            </w:r>
          </w:p>
        </w:tc>
        <w:tc>
          <w:tcPr>
            <w:tcW w:w="889" w:type="dxa"/>
            <w:noWrap/>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17%</w:t>
            </w:r>
          </w:p>
        </w:tc>
        <w:tc>
          <w:tcPr>
            <w:tcW w:w="437" w:type="dxa"/>
            <w:tcBorders>
              <w:top w:val="nil"/>
              <w:bottom w:val="nil"/>
            </w:tcBorders>
            <w:shd w:val="clear" w:color="auto" w:fill="auto"/>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888" w:type="dxa"/>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15%</w:t>
            </w:r>
          </w:p>
        </w:tc>
        <w:tc>
          <w:tcPr>
            <w:tcW w:w="889" w:type="dxa"/>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5%</w:t>
            </w:r>
          </w:p>
        </w:tc>
        <w:tc>
          <w:tcPr>
            <w:tcW w:w="889" w:type="dxa"/>
            <w:vAlign w:val="center"/>
          </w:tcPr>
          <w:p w:rsidR="00E37076" w:rsidRPr="0017147D" w:rsidRDefault="00E37076" w:rsidP="001714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7147D">
              <w:rPr>
                <w:rFonts w:ascii="Calibri" w:hAnsi="Calibri" w:cs="Calibri"/>
                <w:color w:val="000000"/>
                <w:sz w:val="20"/>
                <w:szCs w:val="20"/>
              </w:rPr>
              <w:t>11%</w:t>
            </w:r>
          </w:p>
        </w:tc>
      </w:tr>
    </w:tbl>
    <w:p w:rsidR="002B1371" w:rsidRDefault="002B1371" w:rsidP="002B1371">
      <w:pPr>
        <w:jc w:val="both"/>
        <w:rPr>
          <w:rFonts w:ascii="Calibri" w:hAnsi="Calibri" w:cs="Calibri"/>
          <w:i/>
          <w:iCs/>
        </w:rPr>
      </w:pPr>
    </w:p>
    <w:p w:rsidR="002B1371" w:rsidRPr="002436B1" w:rsidRDefault="00E37076" w:rsidP="002B1371">
      <w:pPr>
        <w:jc w:val="both"/>
        <w:rPr>
          <w:rFonts w:ascii="Calibri" w:hAnsi="Calibri" w:cs="Calibri"/>
        </w:rPr>
      </w:pPr>
      <w:r>
        <w:rPr>
          <w:rFonts w:ascii="Calibri" w:hAnsi="Calibri" w:cs="Calibri"/>
        </w:rPr>
        <w:t>Les sondés évoquent plus fréquemment des avantages financiers pour les inciter à recruter des apprentis en logistique (cités par 20% des établissements de 100 salariés et plus) qu’un renforcement de l’accompagnement dans la recherche et le suivi des candidats (cité par 17% des établissements de 100 salariés et plus)</w:t>
      </w:r>
      <w:r w:rsidR="002B1371" w:rsidRPr="002436B1">
        <w:rPr>
          <w:rFonts w:ascii="Calibri" w:hAnsi="Calibri" w:cs="Calibri"/>
        </w:rPr>
        <w:t xml:space="preserve"> </w:t>
      </w:r>
      <w:r w:rsidR="002B1371" w:rsidRPr="002436B1">
        <w:rPr>
          <w:rFonts w:ascii="Calibri" w:hAnsi="Calibri" w:cs="Calibri"/>
          <w:highlight w:val="yellow"/>
        </w:rPr>
        <w:br w:type="page"/>
      </w:r>
    </w:p>
    <w:p w:rsidR="002B1371" w:rsidRPr="005455E9" w:rsidRDefault="002B1371" w:rsidP="002B1371">
      <w:pPr>
        <w:numPr>
          <w:ilvl w:val="0"/>
          <w:numId w:val="8"/>
        </w:numPr>
        <w:ind w:right="-442"/>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55E9">
        <w:rPr>
          <w:rFonts w:ascii="Arial Black" w:hAnsi="Arial Black" w:cs="Calibri"/>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Politiques de formation continue</w:t>
      </w:r>
    </w:p>
    <w:p w:rsidR="002B1371" w:rsidRPr="002436B1" w:rsidRDefault="002B1371" w:rsidP="002B1371">
      <w:pPr>
        <w:rPr>
          <w:rFonts w:ascii="Calibri" w:hAnsi="Calibri" w:cs="Calibri"/>
          <w:b/>
          <w:color w:val="4F6228"/>
          <w:sz w:val="28"/>
          <w:szCs w:val="36"/>
        </w:rPr>
      </w:pPr>
    </w:p>
    <w:p w:rsidR="002B1371" w:rsidRPr="000B6DD0" w:rsidRDefault="0024643C" w:rsidP="002B1371">
      <w:pPr>
        <w:rPr>
          <w:rFonts w:ascii="Arial Black" w:hAnsi="Arial Black" w:cs="Calibri"/>
          <w:b/>
          <w:bCs/>
          <w:color w:val="632423"/>
        </w:rPr>
      </w:pPr>
      <w:r>
        <w:rPr>
          <w:rFonts w:ascii="Arial Black" w:hAnsi="Arial Black" w:cs="Calibri"/>
          <w:b/>
          <w:bCs/>
          <w:color w:val="632423"/>
        </w:rPr>
        <w:t>Davantage d’</w:t>
      </w:r>
      <w:r w:rsidR="002B1371" w:rsidRPr="000B6DD0">
        <w:rPr>
          <w:rFonts w:ascii="Arial Black" w:hAnsi="Arial Black" w:cs="Calibri"/>
          <w:b/>
          <w:bCs/>
          <w:color w:val="632423"/>
        </w:rPr>
        <w:t>établissements ont réalisé des formations pour leur personnel logistique en 201</w:t>
      </w:r>
      <w:r>
        <w:rPr>
          <w:rFonts w:ascii="Arial Black" w:hAnsi="Arial Black" w:cs="Calibri"/>
          <w:b/>
          <w:bCs/>
          <w:color w:val="632423"/>
        </w:rPr>
        <w:t>4</w:t>
      </w:r>
    </w:p>
    <w:p w:rsidR="002B1371" w:rsidRPr="002436B1" w:rsidRDefault="002B1371" w:rsidP="002B1371">
      <w:pPr>
        <w:rPr>
          <w:rFonts w:ascii="Calibri" w:hAnsi="Calibri" w:cs="Calibri"/>
          <w:b/>
          <w:color w:val="800000"/>
          <w:sz w:val="28"/>
          <w:szCs w:val="36"/>
        </w:rPr>
      </w:pPr>
    </w:p>
    <w:p w:rsidR="002B1371" w:rsidRPr="00B56E74" w:rsidRDefault="002B1371" w:rsidP="002B1371">
      <w:pPr>
        <w:jc w:val="center"/>
        <w:rPr>
          <w:rFonts w:asciiTheme="minorHAnsi" w:hAnsiTheme="minorHAnsi" w:cstheme="minorHAnsi"/>
          <w:b/>
          <w:bCs/>
        </w:rPr>
      </w:pPr>
      <w:r w:rsidRPr="00B56E74">
        <w:rPr>
          <w:rFonts w:asciiTheme="minorHAnsi" w:hAnsiTheme="minorHAnsi" w:cstheme="minorHAnsi"/>
          <w:b/>
          <w:bCs/>
        </w:rPr>
        <w:t>Pourcentage d’établissements ayant réalisé des formations continues</w:t>
      </w:r>
      <w:r w:rsidR="000F7FEE" w:rsidRPr="00B56E74">
        <w:rPr>
          <w:rFonts w:asciiTheme="minorHAnsi" w:hAnsiTheme="minorHAnsi" w:cstheme="minorHAnsi"/>
          <w:b/>
          <w:bCs/>
        </w:rPr>
        <w:t xml:space="preserve"> </w:t>
      </w:r>
      <w:r w:rsidRPr="00B56E74">
        <w:rPr>
          <w:rFonts w:asciiTheme="minorHAnsi" w:hAnsiTheme="minorHAnsi" w:cstheme="minorHAnsi"/>
          <w:b/>
          <w:bCs/>
        </w:rPr>
        <w:t>pour les salariés affectés à la logistique</w:t>
      </w:r>
    </w:p>
    <w:p w:rsidR="002B1371" w:rsidRPr="00B56E74" w:rsidRDefault="002B1371" w:rsidP="002B1371">
      <w:pPr>
        <w:rPr>
          <w:rFonts w:asciiTheme="minorHAnsi" w:hAnsiTheme="minorHAnsi" w:cstheme="minorHAnsi"/>
        </w:rPr>
      </w:pPr>
    </w:p>
    <w:p w:rsidR="002B1371" w:rsidRPr="00B56E74" w:rsidRDefault="002B1371" w:rsidP="0024643C">
      <w:pPr>
        <w:ind w:left="1418"/>
        <w:rPr>
          <w:rFonts w:asciiTheme="minorHAnsi" w:hAnsiTheme="minorHAnsi" w:cstheme="minorHAnsi"/>
          <w:i/>
          <w:iCs/>
        </w:rPr>
      </w:pPr>
      <w:r w:rsidRPr="00B56E74">
        <w:rPr>
          <w:rFonts w:asciiTheme="minorHAnsi" w:hAnsiTheme="minorHAnsi" w:cstheme="minorHAnsi"/>
          <w:i/>
          <w:iCs/>
        </w:rPr>
        <w:t xml:space="preserve">  Etablissements de 100 salariés et plus </w:t>
      </w:r>
      <w:r w:rsidRPr="00B56E74">
        <w:rPr>
          <w:rFonts w:asciiTheme="minorHAnsi" w:hAnsiTheme="minorHAnsi" w:cstheme="minorHAnsi"/>
          <w:i/>
          <w:iCs/>
        </w:rPr>
        <w:tab/>
        <w:t xml:space="preserve">      </w:t>
      </w:r>
      <w:r w:rsidR="007356FD" w:rsidRPr="00B56E74">
        <w:rPr>
          <w:rFonts w:asciiTheme="minorHAnsi" w:hAnsiTheme="minorHAnsi" w:cstheme="minorHAnsi"/>
          <w:i/>
          <w:iCs/>
        </w:rPr>
        <w:t xml:space="preserve">                                                </w:t>
      </w:r>
      <w:r w:rsidRPr="00B56E74">
        <w:rPr>
          <w:rFonts w:asciiTheme="minorHAnsi" w:hAnsiTheme="minorHAnsi" w:cstheme="minorHAnsi"/>
          <w:i/>
          <w:iCs/>
        </w:rPr>
        <w:t>Etablissements de 50 à 99 salariés</w:t>
      </w:r>
    </w:p>
    <w:p w:rsidR="000F7FEE" w:rsidRPr="00B56E74" w:rsidRDefault="000F7FEE" w:rsidP="002B1371">
      <w:pPr>
        <w:rPr>
          <w:rFonts w:asciiTheme="minorHAnsi" w:hAnsiTheme="minorHAnsi" w:cstheme="minorHAnsi"/>
          <w:i/>
          <w:iCs/>
        </w:rPr>
      </w:pPr>
      <w:r w:rsidRPr="00B56E74">
        <w:rPr>
          <w:rFonts w:asciiTheme="minorHAnsi" w:hAnsiTheme="minorHAnsi" w:cstheme="minorHAnsi"/>
          <w:i/>
          <w:iCs/>
          <w:noProof/>
        </w:rPr>
        <w:drawing>
          <wp:inline distT="0" distB="0" distL="0" distR="0" wp14:anchorId="0C480AF4" wp14:editId="42D8F195">
            <wp:extent cx="4486275" cy="1466850"/>
            <wp:effectExtent l="0" t="0" r="9525" b="19050"/>
            <wp:docPr id="90" name="Graphique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676975" w:rsidRPr="00B56E74">
        <w:rPr>
          <w:rFonts w:asciiTheme="minorHAnsi" w:hAnsiTheme="minorHAnsi" w:cstheme="minorHAnsi"/>
          <w:i/>
          <w:iCs/>
        </w:rPr>
        <w:t xml:space="preserve">  </w:t>
      </w:r>
      <w:r w:rsidR="00676975" w:rsidRPr="00B56E74">
        <w:rPr>
          <w:rFonts w:asciiTheme="minorHAnsi" w:hAnsiTheme="minorHAnsi" w:cstheme="minorHAnsi"/>
          <w:i/>
          <w:iCs/>
          <w:noProof/>
        </w:rPr>
        <w:drawing>
          <wp:inline distT="0" distB="0" distL="0" distR="0" wp14:anchorId="17B8AAC9" wp14:editId="227CA9B4">
            <wp:extent cx="4486275" cy="1571625"/>
            <wp:effectExtent l="0" t="0" r="9525" b="9525"/>
            <wp:docPr id="91" name="Graphique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06E9D" w:rsidRDefault="00106E9D" w:rsidP="002B1371">
      <w:pPr>
        <w:jc w:val="both"/>
        <w:rPr>
          <w:rFonts w:asciiTheme="minorHAnsi" w:hAnsiTheme="minorHAnsi" w:cstheme="minorHAnsi"/>
        </w:rPr>
      </w:pPr>
    </w:p>
    <w:p w:rsidR="002B1371" w:rsidRPr="00B56E74" w:rsidRDefault="0024643C" w:rsidP="002B1371">
      <w:pPr>
        <w:jc w:val="both"/>
        <w:rPr>
          <w:rFonts w:asciiTheme="minorHAnsi" w:hAnsiTheme="minorHAnsi" w:cstheme="minorHAnsi"/>
        </w:rPr>
      </w:pPr>
      <w:r>
        <w:rPr>
          <w:rFonts w:asciiTheme="minorHAnsi" w:hAnsiTheme="minorHAnsi" w:cstheme="minorHAnsi"/>
        </w:rPr>
        <w:t xml:space="preserve">La proportion d’établissements déclarant avoir réalisé en 2014 </w:t>
      </w:r>
      <w:r w:rsidR="002D535C">
        <w:rPr>
          <w:rFonts w:asciiTheme="minorHAnsi" w:hAnsiTheme="minorHAnsi" w:cstheme="minorHAnsi"/>
        </w:rPr>
        <w:t>des formations continues pour leur personnel logistique est à son plus haut niveau depuis 2011</w:t>
      </w:r>
      <w:r w:rsidR="002B1371" w:rsidRPr="00B56E74">
        <w:rPr>
          <w:rFonts w:asciiTheme="minorHAnsi" w:hAnsiTheme="minorHAnsi" w:cstheme="minorHAnsi"/>
        </w:rPr>
        <w:t>.</w:t>
      </w:r>
      <w:r w:rsidR="002D535C">
        <w:rPr>
          <w:rFonts w:asciiTheme="minorHAnsi" w:hAnsiTheme="minorHAnsi" w:cstheme="minorHAnsi"/>
        </w:rPr>
        <w:t xml:space="preserve"> En particulier, elle s’accroît de 12 points </w:t>
      </w:r>
      <w:r w:rsidR="00C83036">
        <w:rPr>
          <w:rFonts w:asciiTheme="minorHAnsi" w:hAnsiTheme="minorHAnsi" w:cstheme="minorHAnsi"/>
        </w:rPr>
        <w:t xml:space="preserve">en un an </w:t>
      </w:r>
      <w:r w:rsidR="002D535C">
        <w:rPr>
          <w:rFonts w:asciiTheme="minorHAnsi" w:hAnsiTheme="minorHAnsi" w:cstheme="minorHAnsi"/>
        </w:rPr>
        <w:t xml:space="preserve">pour les établissements de 100 salariés et plus pour s’établir à un peu plus de 60%. </w:t>
      </w:r>
      <w:r w:rsidR="002B1371" w:rsidRPr="00B56E74">
        <w:rPr>
          <w:rFonts w:asciiTheme="minorHAnsi" w:hAnsiTheme="minorHAnsi" w:cstheme="minorHAnsi"/>
        </w:rPr>
        <w:t xml:space="preserve"> </w:t>
      </w:r>
    </w:p>
    <w:p w:rsidR="002B1371" w:rsidRPr="00B56E74" w:rsidRDefault="002B1371" w:rsidP="002B1371">
      <w:pPr>
        <w:rPr>
          <w:rFonts w:asciiTheme="minorHAnsi" w:hAnsiTheme="minorHAnsi" w:cstheme="minorHAnsi"/>
        </w:rPr>
      </w:pPr>
    </w:p>
    <w:p w:rsidR="002B1371" w:rsidRPr="00937C8D" w:rsidRDefault="002B1371" w:rsidP="002B1371">
      <w:pPr>
        <w:jc w:val="center"/>
        <w:rPr>
          <w:rFonts w:asciiTheme="minorHAnsi" w:hAnsiTheme="minorHAnsi" w:cstheme="minorHAnsi"/>
          <w:b/>
          <w:bCs/>
        </w:rPr>
      </w:pPr>
      <w:r w:rsidRPr="00937C8D">
        <w:rPr>
          <w:rFonts w:asciiTheme="minorHAnsi" w:hAnsiTheme="minorHAnsi" w:cstheme="minorHAnsi"/>
          <w:b/>
          <w:bCs/>
        </w:rPr>
        <w:t>Pourcentage d'établissements ayant eu recours aux dispositifs de formation suivants (en pourcentage d’établissements)</w:t>
      </w:r>
    </w:p>
    <w:p w:rsidR="002B1371" w:rsidRPr="00B56E74" w:rsidRDefault="002B1371" w:rsidP="002B1371">
      <w:pPr>
        <w:rPr>
          <w:rFonts w:asciiTheme="minorHAnsi" w:hAnsiTheme="minorHAnsi" w:cstheme="minorHAnsi"/>
        </w:rPr>
      </w:pPr>
    </w:p>
    <w:p w:rsidR="002B1371" w:rsidRPr="00B56E74" w:rsidRDefault="007356FD" w:rsidP="002B1371">
      <w:pPr>
        <w:rPr>
          <w:rFonts w:asciiTheme="minorHAnsi" w:hAnsiTheme="minorHAnsi" w:cstheme="minorHAnsi"/>
          <w:i/>
          <w:iCs/>
        </w:rPr>
      </w:pPr>
      <w:r w:rsidRPr="00B56E74">
        <w:rPr>
          <w:rFonts w:asciiTheme="minorHAnsi" w:hAnsiTheme="minorHAnsi" w:cstheme="minorHAnsi"/>
          <w:i/>
          <w:iCs/>
        </w:rPr>
        <w:t xml:space="preserve">                                                              </w:t>
      </w:r>
      <w:r w:rsidR="002B1371" w:rsidRPr="00B56E74">
        <w:rPr>
          <w:rFonts w:asciiTheme="minorHAnsi" w:hAnsiTheme="minorHAnsi" w:cstheme="minorHAnsi"/>
          <w:i/>
          <w:iCs/>
        </w:rPr>
        <w:t>Etablissements de 100 salariés et plus</w:t>
      </w:r>
      <w:r w:rsidRPr="00B56E74">
        <w:rPr>
          <w:rFonts w:asciiTheme="minorHAnsi" w:hAnsiTheme="minorHAnsi" w:cstheme="minorHAnsi"/>
          <w:i/>
          <w:iCs/>
        </w:rPr>
        <w:t xml:space="preserve">                                                      Etablissements de 50 à 99 salariés</w:t>
      </w:r>
    </w:p>
    <w:tbl>
      <w:tblPr>
        <w:tblStyle w:val="Listemoyenne1-Accent4"/>
        <w:tblW w:w="14357" w:type="dxa"/>
        <w:tblLook w:val="04A0" w:firstRow="1" w:lastRow="0" w:firstColumn="1" w:lastColumn="0" w:noHBand="0" w:noVBand="1"/>
      </w:tblPr>
      <w:tblGrid>
        <w:gridCol w:w="2944"/>
        <w:gridCol w:w="1621"/>
        <w:gridCol w:w="1440"/>
        <w:gridCol w:w="1620"/>
        <w:gridCol w:w="1860"/>
        <w:gridCol w:w="338"/>
        <w:gridCol w:w="908"/>
        <w:gridCol w:w="886"/>
        <w:gridCol w:w="880"/>
        <w:gridCol w:w="1860"/>
      </w:tblGrid>
      <w:tr w:rsidR="007356FD" w:rsidRPr="00B56E74" w:rsidTr="002D535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44" w:type="dxa"/>
            <w:tcBorders>
              <w:top w:val="single" w:sz="8" w:space="0" w:color="8064A2" w:themeColor="accent4"/>
            </w:tcBorders>
            <w:noWrap/>
          </w:tcPr>
          <w:p w:rsidR="007356FD" w:rsidRPr="00B56E74" w:rsidRDefault="007356FD" w:rsidP="00F3284E">
            <w:pPr>
              <w:rPr>
                <w:rFonts w:asciiTheme="minorHAnsi" w:hAnsiTheme="minorHAnsi" w:cstheme="minorHAnsi"/>
                <w:b w:val="0"/>
                <w:bCs w:val="0"/>
                <w:sz w:val="20"/>
                <w:szCs w:val="20"/>
              </w:rPr>
            </w:pPr>
          </w:p>
        </w:tc>
        <w:tc>
          <w:tcPr>
            <w:tcW w:w="1621" w:type="dxa"/>
            <w:tcBorders>
              <w:top w:val="single" w:sz="8" w:space="0" w:color="8064A2" w:themeColor="accent4"/>
            </w:tcBorders>
            <w:noWrap/>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VAE</w:t>
            </w:r>
          </w:p>
        </w:tc>
        <w:tc>
          <w:tcPr>
            <w:tcW w:w="1440" w:type="dxa"/>
            <w:tcBorders>
              <w:top w:val="single" w:sz="8" w:space="0" w:color="8064A2" w:themeColor="accent4"/>
            </w:tcBorders>
            <w:noWrap/>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DIF</w:t>
            </w:r>
          </w:p>
        </w:tc>
        <w:tc>
          <w:tcPr>
            <w:tcW w:w="1620" w:type="dxa"/>
            <w:tcBorders>
              <w:top w:val="single" w:sz="8" w:space="0" w:color="8064A2" w:themeColor="accent4"/>
            </w:tcBorders>
            <w:noWrap/>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CIF</w:t>
            </w:r>
          </w:p>
        </w:tc>
        <w:tc>
          <w:tcPr>
            <w:tcW w:w="1860" w:type="dxa"/>
            <w:tcBorders>
              <w:top w:val="single" w:sz="8" w:space="0" w:color="8064A2" w:themeColor="accent4"/>
            </w:tcBorders>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Période de professionnalisation</w:t>
            </w:r>
          </w:p>
        </w:tc>
        <w:tc>
          <w:tcPr>
            <w:tcW w:w="338" w:type="dxa"/>
            <w:tcBorders>
              <w:bottom w:val="nil"/>
            </w:tcBorders>
            <w:shd w:val="clear" w:color="auto" w:fill="auto"/>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908" w:type="dxa"/>
            <w:tcBorders>
              <w:top w:val="single" w:sz="8" w:space="0" w:color="8064A2" w:themeColor="accent4"/>
            </w:tcBorders>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VAE</w:t>
            </w:r>
          </w:p>
        </w:tc>
        <w:tc>
          <w:tcPr>
            <w:tcW w:w="886" w:type="dxa"/>
            <w:tcBorders>
              <w:top w:val="single" w:sz="8" w:space="0" w:color="8064A2" w:themeColor="accent4"/>
            </w:tcBorders>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DIF</w:t>
            </w:r>
          </w:p>
        </w:tc>
        <w:tc>
          <w:tcPr>
            <w:tcW w:w="880" w:type="dxa"/>
            <w:tcBorders>
              <w:top w:val="single" w:sz="8" w:space="0" w:color="8064A2" w:themeColor="accent4"/>
            </w:tcBorders>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CIF</w:t>
            </w:r>
          </w:p>
        </w:tc>
        <w:tc>
          <w:tcPr>
            <w:tcW w:w="1860" w:type="dxa"/>
            <w:tcBorders>
              <w:top w:val="single" w:sz="8" w:space="0" w:color="8064A2" w:themeColor="accent4"/>
            </w:tcBorders>
            <w:vAlign w:val="center"/>
          </w:tcPr>
          <w:p w:rsidR="007356FD" w:rsidRPr="00B56E74" w:rsidRDefault="007356FD" w:rsidP="007356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Période de professionnalisation</w:t>
            </w:r>
          </w:p>
        </w:tc>
      </w:tr>
      <w:tr w:rsidR="002D535C" w:rsidRPr="00B56E74" w:rsidTr="0093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44" w:type="dxa"/>
            <w:noWrap/>
          </w:tcPr>
          <w:p w:rsidR="002D535C" w:rsidRPr="00B56E74" w:rsidRDefault="002D535C" w:rsidP="00F3284E">
            <w:pPr>
              <w:rPr>
                <w:rFonts w:asciiTheme="minorHAnsi" w:hAnsiTheme="minorHAnsi" w:cstheme="minorHAnsi"/>
                <w:b w:val="0"/>
                <w:bCs w:val="0"/>
                <w:sz w:val="20"/>
                <w:szCs w:val="20"/>
              </w:rPr>
            </w:pPr>
            <w:r w:rsidRPr="00B56E74">
              <w:rPr>
                <w:rFonts w:asciiTheme="minorHAnsi" w:hAnsiTheme="minorHAnsi" w:cstheme="minorHAnsi"/>
                <w:b w:val="0"/>
                <w:bCs w:val="0"/>
                <w:sz w:val="20"/>
                <w:szCs w:val="20"/>
              </w:rPr>
              <w:t>Cadres</w:t>
            </w:r>
          </w:p>
        </w:tc>
        <w:tc>
          <w:tcPr>
            <w:tcW w:w="1621" w:type="dxa"/>
            <w:noWrap/>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1440" w:type="dxa"/>
            <w:noWrap/>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13%</w:t>
            </w:r>
          </w:p>
        </w:tc>
        <w:tc>
          <w:tcPr>
            <w:tcW w:w="1620" w:type="dxa"/>
            <w:noWrap/>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1860"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w:t>
            </w:r>
          </w:p>
        </w:tc>
        <w:tc>
          <w:tcPr>
            <w:tcW w:w="338" w:type="dxa"/>
            <w:tcBorders>
              <w:top w:val="nil"/>
              <w:bottom w:val="nil"/>
            </w:tcBorders>
            <w:shd w:val="clear" w:color="auto" w:fill="auto"/>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908"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w:t>
            </w:r>
          </w:p>
        </w:tc>
        <w:tc>
          <w:tcPr>
            <w:tcW w:w="886"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14%</w:t>
            </w:r>
          </w:p>
        </w:tc>
        <w:tc>
          <w:tcPr>
            <w:tcW w:w="880"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w:t>
            </w:r>
          </w:p>
        </w:tc>
        <w:tc>
          <w:tcPr>
            <w:tcW w:w="1860"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p>
        </w:tc>
      </w:tr>
      <w:tr w:rsidR="002D535C" w:rsidRPr="00B56E74" w:rsidTr="00937C8D">
        <w:trPr>
          <w:trHeight w:val="225"/>
        </w:trPr>
        <w:tc>
          <w:tcPr>
            <w:cnfStyle w:val="001000000000" w:firstRow="0" w:lastRow="0" w:firstColumn="1" w:lastColumn="0" w:oddVBand="0" w:evenVBand="0" w:oddHBand="0" w:evenHBand="0" w:firstRowFirstColumn="0" w:firstRowLastColumn="0" w:lastRowFirstColumn="0" w:lastRowLastColumn="0"/>
            <w:tcW w:w="2944" w:type="dxa"/>
            <w:noWrap/>
          </w:tcPr>
          <w:p w:rsidR="002D535C" w:rsidRPr="00B56E74" w:rsidRDefault="002D535C" w:rsidP="00F3284E">
            <w:pPr>
              <w:rPr>
                <w:rFonts w:asciiTheme="minorHAnsi" w:hAnsiTheme="minorHAnsi" w:cstheme="minorHAnsi"/>
                <w:b w:val="0"/>
                <w:bCs w:val="0"/>
                <w:sz w:val="20"/>
                <w:szCs w:val="20"/>
              </w:rPr>
            </w:pPr>
            <w:r w:rsidRPr="00B56E74">
              <w:rPr>
                <w:rFonts w:asciiTheme="minorHAnsi" w:hAnsiTheme="minorHAnsi" w:cstheme="minorHAnsi"/>
                <w:b w:val="0"/>
                <w:bCs w:val="0"/>
                <w:sz w:val="20"/>
                <w:szCs w:val="20"/>
              </w:rPr>
              <w:t>Techniciens/Agents de maîtrise</w:t>
            </w:r>
          </w:p>
        </w:tc>
        <w:tc>
          <w:tcPr>
            <w:tcW w:w="1621" w:type="dxa"/>
            <w:noWrap/>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1440" w:type="dxa"/>
            <w:noWrap/>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21%</w:t>
            </w:r>
          </w:p>
        </w:tc>
        <w:tc>
          <w:tcPr>
            <w:tcW w:w="1620" w:type="dxa"/>
            <w:noWrap/>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p>
        </w:tc>
        <w:tc>
          <w:tcPr>
            <w:tcW w:w="1860" w:type="dxa"/>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338" w:type="dxa"/>
            <w:tcBorders>
              <w:top w:val="nil"/>
              <w:bottom w:val="nil"/>
            </w:tcBorders>
            <w:shd w:val="clear" w:color="auto" w:fill="auto"/>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908" w:type="dxa"/>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p>
        </w:tc>
        <w:tc>
          <w:tcPr>
            <w:tcW w:w="886" w:type="dxa"/>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19%</w:t>
            </w:r>
          </w:p>
        </w:tc>
        <w:tc>
          <w:tcPr>
            <w:tcW w:w="880" w:type="dxa"/>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w:t>
            </w:r>
          </w:p>
        </w:tc>
        <w:tc>
          <w:tcPr>
            <w:tcW w:w="1860" w:type="dxa"/>
            <w:vAlign w:val="center"/>
          </w:tcPr>
          <w:p w:rsidR="002D535C" w:rsidRPr="00937C8D" w:rsidRDefault="002D535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w:t>
            </w:r>
          </w:p>
        </w:tc>
      </w:tr>
      <w:tr w:rsidR="002D535C" w:rsidRPr="00B56E74" w:rsidTr="0093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44" w:type="dxa"/>
            <w:noWrap/>
          </w:tcPr>
          <w:p w:rsidR="002D535C" w:rsidRPr="00B56E74" w:rsidRDefault="002D535C" w:rsidP="00F3284E">
            <w:pPr>
              <w:rPr>
                <w:rFonts w:asciiTheme="minorHAnsi" w:hAnsiTheme="minorHAnsi" w:cstheme="minorHAnsi"/>
                <w:b w:val="0"/>
                <w:bCs w:val="0"/>
                <w:sz w:val="20"/>
                <w:szCs w:val="20"/>
              </w:rPr>
            </w:pPr>
            <w:r w:rsidRPr="00B56E74">
              <w:rPr>
                <w:rFonts w:asciiTheme="minorHAnsi" w:hAnsiTheme="minorHAnsi" w:cstheme="minorHAnsi"/>
                <w:b w:val="0"/>
                <w:bCs w:val="0"/>
                <w:sz w:val="20"/>
                <w:szCs w:val="20"/>
              </w:rPr>
              <w:t>Opérateurs</w:t>
            </w:r>
          </w:p>
        </w:tc>
        <w:tc>
          <w:tcPr>
            <w:tcW w:w="1621" w:type="dxa"/>
            <w:noWrap/>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p>
        </w:tc>
        <w:tc>
          <w:tcPr>
            <w:tcW w:w="1440" w:type="dxa"/>
            <w:noWrap/>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28%</w:t>
            </w:r>
          </w:p>
        </w:tc>
        <w:tc>
          <w:tcPr>
            <w:tcW w:w="1620" w:type="dxa"/>
            <w:noWrap/>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w:t>
            </w:r>
          </w:p>
        </w:tc>
        <w:tc>
          <w:tcPr>
            <w:tcW w:w="1860"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338" w:type="dxa"/>
            <w:tcBorders>
              <w:top w:val="nil"/>
              <w:bottom w:val="nil"/>
            </w:tcBorders>
            <w:shd w:val="clear" w:color="auto" w:fill="auto"/>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908"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p>
        </w:tc>
        <w:tc>
          <w:tcPr>
            <w:tcW w:w="886"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25%</w:t>
            </w:r>
          </w:p>
        </w:tc>
        <w:tc>
          <w:tcPr>
            <w:tcW w:w="880"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13%</w:t>
            </w:r>
          </w:p>
        </w:tc>
        <w:tc>
          <w:tcPr>
            <w:tcW w:w="1860" w:type="dxa"/>
            <w:vAlign w:val="center"/>
          </w:tcPr>
          <w:p w:rsidR="002D535C" w:rsidRPr="00937C8D" w:rsidRDefault="002D535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w:t>
            </w:r>
          </w:p>
        </w:tc>
      </w:tr>
    </w:tbl>
    <w:p w:rsidR="002B1371" w:rsidRPr="00B56E74" w:rsidRDefault="002B1371" w:rsidP="002B1371">
      <w:pPr>
        <w:rPr>
          <w:rFonts w:asciiTheme="minorHAnsi" w:hAnsiTheme="minorHAnsi" w:cstheme="minorHAnsi"/>
        </w:rPr>
      </w:pPr>
    </w:p>
    <w:p w:rsidR="002B1371" w:rsidRDefault="009A7C6B" w:rsidP="002B1371">
      <w:pPr>
        <w:jc w:val="both"/>
        <w:rPr>
          <w:rFonts w:asciiTheme="minorHAnsi" w:hAnsiTheme="minorHAnsi" w:cstheme="minorHAnsi"/>
        </w:rPr>
      </w:pPr>
      <w:r>
        <w:rPr>
          <w:rFonts w:asciiTheme="minorHAnsi" w:hAnsiTheme="minorHAnsi" w:cstheme="minorHAnsi"/>
        </w:rPr>
        <w:t>Exception faite du plan de formation</w:t>
      </w:r>
      <w:r w:rsidR="00496A2C">
        <w:rPr>
          <w:rFonts w:asciiTheme="minorHAnsi" w:hAnsiTheme="minorHAnsi" w:cstheme="minorHAnsi"/>
        </w:rPr>
        <w:t>, le DIF arrive</w:t>
      </w:r>
      <w:r>
        <w:rPr>
          <w:rFonts w:asciiTheme="minorHAnsi" w:hAnsiTheme="minorHAnsi" w:cstheme="minorHAnsi"/>
        </w:rPr>
        <w:t>,</w:t>
      </w:r>
      <w:r w:rsidR="00496A2C">
        <w:rPr>
          <w:rFonts w:asciiTheme="minorHAnsi" w:hAnsiTheme="minorHAnsi" w:cstheme="minorHAnsi"/>
        </w:rPr>
        <w:t xml:space="preserve"> </w:t>
      </w:r>
      <w:r>
        <w:rPr>
          <w:rFonts w:asciiTheme="minorHAnsi" w:hAnsiTheme="minorHAnsi" w:cstheme="minorHAnsi"/>
        </w:rPr>
        <w:t>c</w:t>
      </w:r>
      <w:r w:rsidR="00496A2C">
        <w:rPr>
          <w:rFonts w:asciiTheme="minorHAnsi" w:hAnsiTheme="minorHAnsi" w:cstheme="minorHAnsi"/>
        </w:rPr>
        <w:t xml:space="preserve">omme </w:t>
      </w:r>
      <w:r w:rsidR="00C83036">
        <w:rPr>
          <w:rFonts w:asciiTheme="minorHAnsi" w:hAnsiTheme="minorHAnsi" w:cstheme="minorHAnsi"/>
        </w:rPr>
        <w:t>précédemment</w:t>
      </w:r>
      <w:r>
        <w:rPr>
          <w:rFonts w:asciiTheme="minorHAnsi" w:hAnsiTheme="minorHAnsi" w:cstheme="minorHAnsi"/>
        </w:rPr>
        <w:t>,</w:t>
      </w:r>
      <w:r w:rsidR="00496A2C">
        <w:rPr>
          <w:rFonts w:asciiTheme="minorHAnsi" w:hAnsiTheme="minorHAnsi" w:cstheme="minorHAnsi"/>
        </w:rPr>
        <w:t xml:space="preserve"> largement en tête des dispositifs les plus </w:t>
      </w:r>
      <w:r>
        <w:rPr>
          <w:rFonts w:asciiTheme="minorHAnsi" w:hAnsiTheme="minorHAnsi" w:cstheme="minorHAnsi"/>
        </w:rPr>
        <w:t xml:space="preserve">souvent </w:t>
      </w:r>
      <w:r w:rsidR="00496A2C">
        <w:rPr>
          <w:rFonts w:asciiTheme="minorHAnsi" w:hAnsiTheme="minorHAnsi" w:cstheme="minorHAnsi"/>
        </w:rPr>
        <w:t xml:space="preserve">mobilisés </w:t>
      </w:r>
      <w:r>
        <w:rPr>
          <w:rFonts w:asciiTheme="minorHAnsi" w:hAnsiTheme="minorHAnsi" w:cstheme="minorHAnsi"/>
        </w:rPr>
        <w:t>dans les entreprises</w:t>
      </w:r>
      <w:r w:rsidR="00496A2C">
        <w:rPr>
          <w:rFonts w:asciiTheme="minorHAnsi" w:hAnsiTheme="minorHAnsi" w:cstheme="minorHAnsi"/>
        </w:rPr>
        <w:t xml:space="preserve"> pour former les salariés </w:t>
      </w:r>
      <w:r>
        <w:rPr>
          <w:rFonts w:asciiTheme="minorHAnsi" w:hAnsiTheme="minorHAnsi" w:cstheme="minorHAnsi"/>
        </w:rPr>
        <w:t xml:space="preserve">de la logistique </w:t>
      </w:r>
      <w:r w:rsidR="00496A2C">
        <w:rPr>
          <w:rFonts w:asciiTheme="minorHAnsi" w:hAnsiTheme="minorHAnsi" w:cstheme="minorHAnsi"/>
        </w:rPr>
        <w:t xml:space="preserve">(cité par 28% des établissements de 100 salariés et plus pour perfectionner les opérateurs logistiques), devant le CIF, la VAE et les périodes de professionnalisation. </w:t>
      </w:r>
    </w:p>
    <w:p w:rsidR="00496A2C" w:rsidRPr="00B56E74" w:rsidRDefault="00496A2C" w:rsidP="002B1371">
      <w:pPr>
        <w:jc w:val="both"/>
        <w:rPr>
          <w:rFonts w:asciiTheme="minorHAnsi" w:hAnsiTheme="minorHAnsi" w:cstheme="minorHAnsi"/>
        </w:rPr>
      </w:pPr>
      <w:r>
        <w:rPr>
          <w:rFonts w:asciiTheme="minorHAnsi" w:hAnsiTheme="minorHAnsi" w:cstheme="minorHAnsi"/>
        </w:rPr>
        <w:t xml:space="preserve">Les établissements de 50 à 99 salariés </w:t>
      </w:r>
      <w:r w:rsidR="0040654C">
        <w:rPr>
          <w:rFonts w:asciiTheme="minorHAnsi" w:hAnsiTheme="minorHAnsi" w:cstheme="minorHAnsi"/>
        </w:rPr>
        <w:t>citent plus fréquemment le</w:t>
      </w:r>
      <w:r>
        <w:rPr>
          <w:rFonts w:asciiTheme="minorHAnsi" w:hAnsiTheme="minorHAnsi" w:cstheme="minorHAnsi"/>
        </w:rPr>
        <w:t xml:space="preserve"> CIF que les établissements de 100 salariés</w:t>
      </w:r>
      <w:r w:rsidR="0040654C">
        <w:rPr>
          <w:rFonts w:asciiTheme="minorHAnsi" w:hAnsiTheme="minorHAnsi" w:cstheme="minorHAnsi"/>
        </w:rPr>
        <w:t xml:space="preserve"> et plus pour les emplois logistiques</w:t>
      </w:r>
      <w:r>
        <w:rPr>
          <w:rFonts w:asciiTheme="minorHAnsi" w:hAnsiTheme="minorHAnsi" w:cstheme="minorHAnsi"/>
        </w:rPr>
        <w:t xml:space="preserve"> : </w:t>
      </w:r>
      <w:r w:rsidR="0040654C">
        <w:rPr>
          <w:rFonts w:asciiTheme="minorHAnsi" w:hAnsiTheme="minorHAnsi" w:cstheme="minorHAnsi"/>
        </w:rPr>
        <w:t>en 20</w:t>
      </w:r>
      <w:r w:rsidR="00C83036">
        <w:rPr>
          <w:rFonts w:asciiTheme="minorHAnsi" w:hAnsiTheme="minorHAnsi" w:cstheme="minorHAnsi"/>
        </w:rPr>
        <w:t>1</w:t>
      </w:r>
      <w:r w:rsidR="0040654C">
        <w:rPr>
          <w:rFonts w:asciiTheme="minorHAnsi" w:hAnsiTheme="minorHAnsi" w:cstheme="minorHAnsi"/>
        </w:rPr>
        <w:t>4, il a été utilisé par des opérateurs logistiques chez 13% des premiers et 7% des seconds.</w:t>
      </w:r>
    </w:p>
    <w:p w:rsidR="00CC0C7C" w:rsidRDefault="007A2E7F" w:rsidP="001E2731">
      <w:pPr>
        <w:jc w:val="center"/>
        <w:rPr>
          <w:rFonts w:asciiTheme="minorHAnsi" w:hAnsiTheme="minorHAnsi" w:cstheme="minorHAnsi"/>
          <w:b/>
        </w:rPr>
      </w:pPr>
      <w:r>
        <w:rPr>
          <w:rFonts w:asciiTheme="minorHAnsi" w:hAnsiTheme="minorHAnsi" w:cstheme="minorHAnsi"/>
          <w:b/>
        </w:rPr>
        <w:t>Pourcentage attendu d’établissements en gestion directe du CPF</w:t>
      </w:r>
    </w:p>
    <w:p w:rsidR="007A2E7F" w:rsidRPr="00937C8D" w:rsidRDefault="007A2E7F">
      <w:pPr>
        <w:rPr>
          <w:rFonts w:asciiTheme="minorHAnsi" w:hAnsiTheme="minorHAnsi" w:cstheme="minorHAnsi"/>
          <w:b/>
          <w:sz w:val="20"/>
        </w:rPr>
      </w:pPr>
    </w:p>
    <w:p w:rsidR="0040654C" w:rsidRPr="00B56E74" w:rsidRDefault="0040654C" w:rsidP="0040654C">
      <w:pPr>
        <w:ind w:left="1418"/>
        <w:rPr>
          <w:rFonts w:asciiTheme="minorHAnsi" w:hAnsiTheme="minorHAnsi" w:cstheme="minorHAnsi"/>
          <w:i/>
          <w:iCs/>
        </w:rPr>
      </w:pPr>
      <w:r w:rsidRPr="00B56E74">
        <w:rPr>
          <w:rFonts w:asciiTheme="minorHAnsi" w:hAnsiTheme="minorHAnsi" w:cstheme="minorHAnsi"/>
          <w:i/>
          <w:iCs/>
        </w:rPr>
        <w:t xml:space="preserve">  Etablissements de 100 salariés et plus </w:t>
      </w:r>
      <w:r w:rsidRPr="00B56E74">
        <w:rPr>
          <w:rFonts w:asciiTheme="minorHAnsi" w:hAnsiTheme="minorHAnsi" w:cstheme="minorHAnsi"/>
          <w:i/>
          <w:iCs/>
        </w:rPr>
        <w:tab/>
        <w:t xml:space="preserve">                                                      </w:t>
      </w:r>
    </w:p>
    <w:tbl>
      <w:tblPr>
        <w:tblStyle w:val="Trameclaire-Accent2"/>
        <w:tblW w:w="10875" w:type="dxa"/>
        <w:tblLook w:val="04A0" w:firstRow="1" w:lastRow="0" w:firstColumn="1" w:lastColumn="0" w:noHBand="0" w:noVBand="1"/>
      </w:tblPr>
      <w:tblGrid>
        <w:gridCol w:w="2235"/>
        <w:gridCol w:w="1080"/>
        <w:gridCol w:w="1080"/>
        <w:gridCol w:w="1080"/>
        <w:gridCol w:w="1080"/>
        <w:gridCol w:w="1080"/>
        <w:gridCol w:w="1080"/>
        <w:gridCol w:w="1080"/>
        <w:gridCol w:w="1080"/>
      </w:tblGrid>
      <w:tr w:rsidR="001E2731" w:rsidRPr="00937C8D" w:rsidTr="0021377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40654C" w:rsidRPr="00937C8D" w:rsidRDefault="0040654C" w:rsidP="00937C8D">
            <w:pPr>
              <w:jc w:val="center"/>
              <w:rPr>
                <w:rFonts w:ascii="Calibri" w:hAnsi="Calibri" w:cs="Calibri"/>
                <w:b w:val="0"/>
                <w:color w:val="000000"/>
                <w:sz w:val="20"/>
                <w:szCs w:val="20"/>
              </w:rPr>
            </w:pP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IAA</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PHAR</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AUTO</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IEM</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CHIM</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COM</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TRP</w:t>
            </w:r>
          </w:p>
        </w:tc>
        <w:tc>
          <w:tcPr>
            <w:tcW w:w="1080" w:type="dxa"/>
            <w:noWrap/>
            <w:hideMark/>
          </w:tcPr>
          <w:p w:rsidR="0040654C" w:rsidRPr="00937C8D" w:rsidRDefault="0040654C"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Total</w:t>
            </w:r>
          </w:p>
        </w:tc>
      </w:tr>
      <w:tr w:rsidR="001E2731"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40654C" w:rsidRPr="00937C8D" w:rsidRDefault="0040654C">
            <w:pPr>
              <w:rPr>
                <w:rFonts w:ascii="Calibri" w:hAnsi="Calibri" w:cs="Calibri"/>
                <w:b w:val="0"/>
                <w:color w:val="000000"/>
                <w:sz w:val="20"/>
                <w:szCs w:val="20"/>
              </w:rPr>
            </w:pPr>
            <w:r w:rsidRPr="00937C8D">
              <w:rPr>
                <w:rFonts w:ascii="Calibri" w:hAnsi="Calibri" w:cs="Calibri"/>
                <w:b w:val="0"/>
                <w:color w:val="000000"/>
                <w:sz w:val="20"/>
                <w:szCs w:val="20"/>
              </w:rPr>
              <w:t>Oui</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p>
        </w:tc>
        <w:tc>
          <w:tcPr>
            <w:tcW w:w="1080" w:type="dxa"/>
            <w:noWrap/>
            <w:hideMark/>
          </w:tcPr>
          <w:p w:rsidR="0040654C" w:rsidRPr="00937C8D" w:rsidRDefault="008603F4"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r w:rsidR="0040654C"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w:t>
            </w:r>
            <w:r w:rsidR="008603F4" w:rsidRPr="00937C8D">
              <w:rPr>
                <w:rFonts w:ascii="Calibri" w:hAnsi="Calibri" w:cs="Calibri"/>
                <w:color w:val="000000"/>
                <w:sz w:val="20"/>
                <w:szCs w:val="20"/>
              </w:rPr>
              <w:t>1</w:t>
            </w:r>
            <w:r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w:t>
            </w:r>
          </w:p>
        </w:tc>
      </w:tr>
      <w:tr w:rsidR="0040654C" w:rsidRPr="00937C8D" w:rsidTr="0021377D">
        <w:trPr>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40654C" w:rsidRPr="00937C8D" w:rsidRDefault="0040654C">
            <w:pPr>
              <w:rPr>
                <w:rFonts w:ascii="Calibri" w:hAnsi="Calibri" w:cs="Calibri"/>
                <w:b w:val="0"/>
                <w:color w:val="000000"/>
                <w:sz w:val="20"/>
                <w:szCs w:val="20"/>
              </w:rPr>
            </w:pPr>
            <w:r w:rsidRPr="00937C8D">
              <w:rPr>
                <w:rFonts w:ascii="Calibri" w:hAnsi="Calibri" w:cs="Calibri"/>
                <w:b w:val="0"/>
                <w:color w:val="000000"/>
                <w:sz w:val="20"/>
                <w:szCs w:val="20"/>
              </w:rPr>
              <w:t>Non</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r w:rsidR="008603F4" w:rsidRPr="00937C8D">
              <w:rPr>
                <w:rFonts w:ascii="Calibri" w:hAnsi="Calibri" w:cs="Calibri"/>
                <w:color w:val="000000"/>
                <w:sz w:val="20"/>
                <w:szCs w:val="20"/>
              </w:rPr>
              <w:t>8</w:t>
            </w:r>
            <w:r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35%</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34%</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34%</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r w:rsidR="008603F4" w:rsidRPr="00937C8D">
              <w:rPr>
                <w:rFonts w:ascii="Calibri" w:hAnsi="Calibri" w:cs="Calibri"/>
                <w:color w:val="000000"/>
                <w:sz w:val="20"/>
                <w:szCs w:val="20"/>
              </w:rPr>
              <w:t>5</w:t>
            </w:r>
            <w:r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28%</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46%</w:t>
            </w:r>
          </w:p>
        </w:tc>
        <w:tc>
          <w:tcPr>
            <w:tcW w:w="1080" w:type="dxa"/>
            <w:noWrap/>
            <w:hideMark/>
          </w:tcPr>
          <w:p w:rsidR="0040654C" w:rsidRPr="00937C8D" w:rsidRDefault="0040654C"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42%</w:t>
            </w:r>
          </w:p>
        </w:tc>
      </w:tr>
      <w:tr w:rsidR="001E2731"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40654C" w:rsidRPr="00937C8D" w:rsidRDefault="0040654C">
            <w:pPr>
              <w:rPr>
                <w:rFonts w:ascii="Calibri" w:hAnsi="Calibri" w:cs="Calibri"/>
                <w:b w:val="0"/>
                <w:color w:val="000000"/>
                <w:sz w:val="20"/>
                <w:szCs w:val="20"/>
              </w:rPr>
            </w:pPr>
            <w:r w:rsidRPr="00937C8D">
              <w:rPr>
                <w:rFonts w:ascii="Calibri" w:hAnsi="Calibri" w:cs="Calibri"/>
                <w:b w:val="0"/>
                <w:color w:val="000000"/>
                <w:sz w:val="20"/>
                <w:szCs w:val="20"/>
              </w:rPr>
              <w:t>Ne se prononce pas</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r w:rsidR="008603F4" w:rsidRPr="00937C8D">
              <w:rPr>
                <w:rFonts w:ascii="Calibri" w:hAnsi="Calibri" w:cs="Calibri"/>
                <w:color w:val="000000"/>
                <w:sz w:val="20"/>
                <w:szCs w:val="20"/>
              </w:rPr>
              <w:t>7</w:t>
            </w:r>
            <w:r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56%</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61%</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55%</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36%</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6</w:t>
            </w:r>
            <w:r w:rsidR="008603F4" w:rsidRPr="00937C8D">
              <w:rPr>
                <w:rFonts w:ascii="Calibri" w:hAnsi="Calibri" w:cs="Calibri"/>
                <w:color w:val="000000"/>
                <w:sz w:val="20"/>
                <w:szCs w:val="20"/>
              </w:rPr>
              <w:t>5</w:t>
            </w:r>
            <w:r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w:t>
            </w:r>
            <w:r w:rsidR="008603F4" w:rsidRPr="00937C8D">
              <w:rPr>
                <w:rFonts w:ascii="Calibri" w:hAnsi="Calibri" w:cs="Calibri"/>
                <w:color w:val="000000"/>
                <w:sz w:val="20"/>
                <w:szCs w:val="20"/>
              </w:rPr>
              <w:t>6</w:t>
            </w:r>
            <w:r w:rsidRPr="00937C8D">
              <w:rPr>
                <w:rFonts w:ascii="Calibri" w:hAnsi="Calibri" w:cs="Calibri"/>
                <w:color w:val="000000"/>
                <w:sz w:val="20"/>
                <w:szCs w:val="20"/>
              </w:rPr>
              <w:t>%</w:t>
            </w:r>
          </w:p>
        </w:tc>
        <w:tc>
          <w:tcPr>
            <w:tcW w:w="1080" w:type="dxa"/>
            <w:noWrap/>
            <w:hideMark/>
          </w:tcPr>
          <w:p w:rsidR="0040654C" w:rsidRPr="00937C8D" w:rsidRDefault="0040654C"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r w:rsidR="008603F4" w:rsidRPr="00937C8D">
              <w:rPr>
                <w:rFonts w:ascii="Calibri" w:hAnsi="Calibri" w:cs="Calibri"/>
                <w:color w:val="000000"/>
                <w:sz w:val="20"/>
                <w:szCs w:val="20"/>
              </w:rPr>
              <w:t>1</w:t>
            </w:r>
            <w:r w:rsidRPr="00937C8D">
              <w:rPr>
                <w:rFonts w:ascii="Calibri" w:hAnsi="Calibri" w:cs="Calibri"/>
                <w:color w:val="000000"/>
                <w:sz w:val="20"/>
                <w:szCs w:val="20"/>
              </w:rPr>
              <w:t>%</w:t>
            </w:r>
          </w:p>
        </w:tc>
      </w:tr>
    </w:tbl>
    <w:p w:rsidR="00514B37" w:rsidRPr="00937C8D" w:rsidRDefault="00514B37" w:rsidP="002B1371">
      <w:pPr>
        <w:rPr>
          <w:rFonts w:asciiTheme="minorHAnsi" w:hAnsiTheme="minorHAnsi" w:cstheme="minorHAnsi"/>
          <w:b/>
          <w:color w:val="4F6228"/>
          <w:sz w:val="22"/>
        </w:rPr>
      </w:pPr>
    </w:p>
    <w:p w:rsidR="0040654C" w:rsidRDefault="0040654C" w:rsidP="002B1371">
      <w:pPr>
        <w:rPr>
          <w:rFonts w:asciiTheme="minorHAnsi" w:hAnsiTheme="minorHAnsi" w:cstheme="minorHAnsi"/>
          <w:b/>
          <w:color w:val="4F6228"/>
          <w:sz w:val="28"/>
        </w:rPr>
      </w:pPr>
      <w:r w:rsidRPr="00B56E74">
        <w:rPr>
          <w:rFonts w:asciiTheme="minorHAnsi" w:hAnsiTheme="minorHAnsi" w:cstheme="minorHAnsi"/>
          <w:i/>
          <w:iCs/>
        </w:rPr>
        <w:t>Etablissements de 50 à 99 salariés</w:t>
      </w:r>
    </w:p>
    <w:tbl>
      <w:tblPr>
        <w:tblStyle w:val="Trameclaire-Accent2"/>
        <w:tblW w:w="5702" w:type="dxa"/>
        <w:tblLook w:val="04A0" w:firstRow="1" w:lastRow="0" w:firstColumn="1" w:lastColumn="0" w:noHBand="0" w:noVBand="1"/>
      </w:tblPr>
      <w:tblGrid>
        <w:gridCol w:w="2235"/>
        <w:gridCol w:w="1275"/>
        <w:gridCol w:w="1096"/>
        <w:gridCol w:w="1096"/>
      </w:tblGrid>
      <w:tr w:rsidR="007A2E7F" w:rsidRPr="00937C8D" w:rsidTr="0021377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tcPr>
          <w:p w:rsidR="007A2E7F" w:rsidRPr="00937C8D" w:rsidRDefault="007A2E7F" w:rsidP="00937C8D">
            <w:pPr>
              <w:jc w:val="center"/>
              <w:rPr>
                <w:rFonts w:ascii="Calibri" w:hAnsi="Calibri" w:cs="Calibri"/>
                <w:b w:val="0"/>
                <w:color w:val="000000"/>
                <w:sz w:val="20"/>
                <w:szCs w:val="20"/>
              </w:rPr>
            </w:pPr>
          </w:p>
        </w:tc>
        <w:tc>
          <w:tcPr>
            <w:tcW w:w="1275" w:type="dxa"/>
            <w:noWrap/>
            <w:hideMark/>
          </w:tcPr>
          <w:p w:rsidR="007A2E7F" w:rsidRPr="00937C8D" w:rsidRDefault="007A2E7F"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COM</w:t>
            </w:r>
          </w:p>
        </w:tc>
        <w:tc>
          <w:tcPr>
            <w:tcW w:w="1096" w:type="dxa"/>
            <w:noWrap/>
            <w:hideMark/>
          </w:tcPr>
          <w:p w:rsidR="007A2E7F" w:rsidRPr="00937C8D" w:rsidRDefault="007A2E7F"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TRP</w:t>
            </w:r>
          </w:p>
        </w:tc>
        <w:tc>
          <w:tcPr>
            <w:tcW w:w="1096" w:type="dxa"/>
            <w:noWrap/>
            <w:hideMark/>
          </w:tcPr>
          <w:p w:rsidR="007A2E7F" w:rsidRPr="00937C8D" w:rsidRDefault="007A2E7F"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Total</w:t>
            </w:r>
          </w:p>
        </w:tc>
      </w:tr>
      <w:tr w:rsidR="007A2E7F"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tcPr>
          <w:p w:rsidR="007A2E7F" w:rsidRPr="00937C8D" w:rsidRDefault="007A2E7F" w:rsidP="00065716">
            <w:pPr>
              <w:rPr>
                <w:rFonts w:ascii="Calibri" w:hAnsi="Calibri" w:cs="Calibri"/>
                <w:b w:val="0"/>
                <w:color w:val="000000"/>
                <w:sz w:val="20"/>
                <w:szCs w:val="20"/>
              </w:rPr>
            </w:pPr>
            <w:r w:rsidRPr="00937C8D">
              <w:rPr>
                <w:rFonts w:ascii="Calibri" w:hAnsi="Calibri" w:cs="Calibri"/>
                <w:b w:val="0"/>
                <w:color w:val="000000"/>
                <w:sz w:val="20"/>
                <w:szCs w:val="20"/>
              </w:rPr>
              <w:t>Oui</w:t>
            </w:r>
          </w:p>
        </w:tc>
        <w:tc>
          <w:tcPr>
            <w:tcW w:w="1275" w:type="dxa"/>
            <w:noWrap/>
            <w:hideMark/>
          </w:tcPr>
          <w:p w:rsidR="007A2E7F" w:rsidRPr="00937C8D" w:rsidRDefault="007A2E7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p>
        </w:tc>
        <w:tc>
          <w:tcPr>
            <w:tcW w:w="1096" w:type="dxa"/>
            <w:noWrap/>
            <w:hideMark/>
          </w:tcPr>
          <w:p w:rsidR="007A2E7F" w:rsidRPr="00937C8D" w:rsidRDefault="007A2E7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6%</w:t>
            </w:r>
          </w:p>
        </w:tc>
        <w:tc>
          <w:tcPr>
            <w:tcW w:w="1096" w:type="dxa"/>
            <w:noWrap/>
            <w:hideMark/>
          </w:tcPr>
          <w:p w:rsidR="007A2E7F" w:rsidRPr="00937C8D" w:rsidRDefault="007A2E7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w:t>
            </w:r>
          </w:p>
        </w:tc>
      </w:tr>
      <w:tr w:rsidR="007A2E7F" w:rsidRPr="00937C8D" w:rsidTr="0021377D">
        <w:trPr>
          <w:trHeight w:val="225"/>
        </w:trPr>
        <w:tc>
          <w:tcPr>
            <w:cnfStyle w:val="001000000000" w:firstRow="0" w:lastRow="0" w:firstColumn="1" w:lastColumn="0" w:oddVBand="0" w:evenVBand="0" w:oddHBand="0" w:evenHBand="0" w:firstRowFirstColumn="0" w:firstRowLastColumn="0" w:lastRowFirstColumn="0" w:lastRowLastColumn="0"/>
            <w:tcW w:w="2235" w:type="dxa"/>
          </w:tcPr>
          <w:p w:rsidR="007A2E7F" w:rsidRPr="00937C8D" w:rsidRDefault="007A2E7F" w:rsidP="00065716">
            <w:pPr>
              <w:rPr>
                <w:rFonts w:ascii="Calibri" w:hAnsi="Calibri" w:cs="Calibri"/>
                <w:b w:val="0"/>
                <w:color w:val="000000"/>
                <w:sz w:val="20"/>
                <w:szCs w:val="20"/>
              </w:rPr>
            </w:pPr>
            <w:r w:rsidRPr="00937C8D">
              <w:rPr>
                <w:rFonts w:ascii="Calibri" w:hAnsi="Calibri" w:cs="Calibri"/>
                <w:b w:val="0"/>
                <w:color w:val="000000"/>
                <w:sz w:val="20"/>
                <w:szCs w:val="20"/>
              </w:rPr>
              <w:t>Non</w:t>
            </w:r>
          </w:p>
        </w:tc>
        <w:tc>
          <w:tcPr>
            <w:tcW w:w="1275" w:type="dxa"/>
            <w:noWrap/>
            <w:hideMark/>
          </w:tcPr>
          <w:p w:rsidR="007A2E7F" w:rsidRPr="00937C8D" w:rsidRDefault="007A2E7F"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23%</w:t>
            </w:r>
          </w:p>
        </w:tc>
        <w:tc>
          <w:tcPr>
            <w:tcW w:w="1096" w:type="dxa"/>
            <w:noWrap/>
            <w:hideMark/>
          </w:tcPr>
          <w:p w:rsidR="007A2E7F" w:rsidRPr="00937C8D" w:rsidRDefault="007A2E7F"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76%</w:t>
            </w:r>
          </w:p>
        </w:tc>
        <w:tc>
          <w:tcPr>
            <w:tcW w:w="1096" w:type="dxa"/>
            <w:noWrap/>
            <w:hideMark/>
          </w:tcPr>
          <w:p w:rsidR="007A2E7F" w:rsidRPr="00937C8D" w:rsidRDefault="007A2E7F"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45%</w:t>
            </w:r>
          </w:p>
        </w:tc>
      </w:tr>
      <w:tr w:rsidR="007A2E7F"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tcPr>
          <w:p w:rsidR="007A2E7F" w:rsidRPr="00937C8D" w:rsidRDefault="007A2E7F" w:rsidP="00065716">
            <w:pPr>
              <w:rPr>
                <w:rFonts w:ascii="Calibri" w:hAnsi="Calibri" w:cs="Calibri"/>
                <w:b w:val="0"/>
                <w:color w:val="000000"/>
                <w:sz w:val="20"/>
                <w:szCs w:val="20"/>
              </w:rPr>
            </w:pPr>
            <w:r w:rsidRPr="00937C8D">
              <w:rPr>
                <w:rFonts w:ascii="Calibri" w:hAnsi="Calibri" w:cs="Calibri"/>
                <w:b w:val="0"/>
                <w:color w:val="000000"/>
                <w:sz w:val="20"/>
                <w:szCs w:val="20"/>
              </w:rPr>
              <w:t>Ne se prononce pas</w:t>
            </w:r>
          </w:p>
        </w:tc>
        <w:tc>
          <w:tcPr>
            <w:tcW w:w="1275" w:type="dxa"/>
            <w:noWrap/>
            <w:hideMark/>
          </w:tcPr>
          <w:p w:rsidR="007A2E7F" w:rsidRPr="00937C8D" w:rsidRDefault="007A2E7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74%</w:t>
            </w:r>
          </w:p>
        </w:tc>
        <w:tc>
          <w:tcPr>
            <w:tcW w:w="1096" w:type="dxa"/>
            <w:noWrap/>
            <w:hideMark/>
          </w:tcPr>
          <w:p w:rsidR="007A2E7F" w:rsidRPr="00937C8D" w:rsidRDefault="007A2E7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w:t>
            </w:r>
            <w:r w:rsidR="008603F4" w:rsidRPr="00937C8D">
              <w:rPr>
                <w:rFonts w:ascii="Calibri" w:hAnsi="Calibri" w:cs="Calibri"/>
                <w:color w:val="000000"/>
                <w:sz w:val="20"/>
                <w:szCs w:val="20"/>
              </w:rPr>
              <w:t>8</w:t>
            </w:r>
            <w:r w:rsidRPr="00937C8D">
              <w:rPr>
                <w:rFonts w:ascii="Calibri" w:hAnsi="Calibri" w:cs="Calibri"/>
                <w:color w:val="000000"/>
                <w:sz w:val="20"/>
                <w:szCs w:val="20"/>
              </w:rPr>
              <w:t>%</w:t>
            </w:r>
          </w:p>
        </w:tc>
        <w:tc>
          <w:tcPr>
            <w:tcW w:w="1096" w:type="dxa"/>
            <w:noWrap/>
            <w:hideMark/>
          </w:tcPr>
          <w:p w:rsidR="007A2E7F" w:rsidRPr="00937C8D" w:rsidRDefault="007A2E7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51%</w:t>
            </w:r>
          </w:p>
        </w:tc>
      </w:tr>
    </w:tbl>
    <w:p w:rsidR="0040654C" w:rsidRPr="008603F4" w:rsidRDefault="0040654C" w:rsidP="008603F4">
      <w:pPr>
        <w:jc w:val="both"/>
        <w:rPr>
          <w:rFonts w:asciiTheme="minorHAnsi" w:hAnsiTheme="minorHAnsi" w:cstheme="minorHAnsi"/>
        </w:rPr>
      </w:pPr>
    </w:p>
    <w:p w:rsidR="001E2731" w:rsidRDefault="007A2E7F" w:rsidP="008603F4">
      <w:pPr>
        <w:jc w:val="both"/>
        <w:rPr>
          <w:rFonts w:asciiTheme="minorHAnsi" w:hAnsiTheme="minorHAnsi" w:cstheme="minorHAnsi"/>
        </w:rPr>
      </w:pPr>
      <w:r w:rsidRPr="008603F4">
        <w:rPr>
          <w:rFonts w:asciiTheme="minorHAnsi" w:hAnsiTheme="minorHAnsi" w:cstheme="minorHAnsi"/>
        </w:rPr>
        <w:t>A la suite de la loi du 5 mars 2014 relative à la formation professionnelle, à l’emploi et à la démocratie sociale, une nouvelle modalité d’accès à la formation a été créée, qui se substitue au DIF</w:t>
      </w:r>
      <w:r w:rsidR="008603F4" w:rsidRPr="008603F4">
        <w:rPr>
          <w:rFonts w:asciiTheme="minorHAnsi" w:hAnsiTheme="minorHAnsi" w:cstheme="minorHAnsi"/>
        </w:rPr>
        <w:t> :</w:t>
      </w:r>
      <w:r w:rsidRPr="008603F4">
        <w:rPr>
          <w:rFonts w:asciiTheme="minorHAnsi" w:hAnsiTheme="minorHAnsi" w:cstheme="minorHAnsi"/>
        </w:rPr>
        <w:t xml:space="preserve"> le </w:t>
      </w:r>
      <w:r w:rsidR="009A5123">
        <w:rPr>
          <w:rFonts w:asciiTheme="minorHAnsi" w:hAnsiTheme="minorHAnsi" w:cstheme="minorHAnsi"/>
        </w:rPr>
        <w:t>Compte Personnel de F</w:t>
      </w:r>
      <w:r w:rsidRPr="008603F4">
        <w:rPr>
          <w:rFonts w:asciiTheme="minorHAnsi" w:hAnsiTheme="minorHAnsi" w:cstheme="minorHAnsi"/>
        </w:rPr>
        <w:t>ormation</w:t>
      </w:r>
      <w:r w:rsidR="009A5123">
        <w:rPr>
          <w:rFonts w:asciiTheme="minorHAnsi" w:hAnsiTheme="minorHAnsi" w:cstheme="minorHAnsi"/>
        </w:rPr>
        <w:t xml:space="preserve"> </w:t>
      </w:r>
      <w:r w:rsidR="009A5123" w:rsidRPr="008603F4">
        <w:rPr>
          <w:rFonts w:asciiTheme="minorHAnsi" w:hAnsiTheme="minorHAnsi" w:cstheme="minorHAnsi"/>
        </w:rPr>
        <w:t>(CPF)</w:t>
      </w:r>
      <w:r w:rsidRPr="008603F4">
        <w:rPr>
          <w:rFonts w:asciiTheme="minorHAnsi" w:hAnsiTheme="minorHAnsi" w:cstheme="minorHAnsi"/>
        </w:rPr>
        <w:t>.</w:t>
      </w:r>
      <w:r w:rsidR="008603F4" w:rsidRPr="008603F4">
        <w:rPr>
          <w:rFonts w:asciiTheme="minorHAnsi" w:hAnsiTheme="minorHAnsi" w:cstheme="minorHAnsi"/>
        </w:rPr>
        <w:t xml:space="preserve"> </w:t>
      </w:r>
    </w:p>
    <w:p w:rsidR="001E2731" w:rsidRDefault="001E2731" w:rsidP="008603F4">
      <w:pPr>
        <w:jc w:val="both"/>
        <w:rPr>
          <w:rFonts w:asciiTheme="minorHAnsi" w:hAnsiTheme="minorHAnsi" w:cstheme="minorHAnsi"/>
        </w:rPr>
      </w:pPr>
    </w:p>
    <w:p w:rsidR="007A2E7F" w:rsidRPr="008603F4" w:rsidRDefault="007D56A4" w:rsidP="008603F4">
      <w:pPr>
        <w:jc w:val="both"/>
        <w:rPr>
          <w:rFonts w:asciiTheme="minorHAnsi" w:hAnsiTheme="minorHAnsi" w:cstheme="minorHAnsi"/>
        </w:rPr>
      </w:pPr>
      <w:r>
        <w:rPr>
          <w:rFonts w:asciiTheme="minorHAnsi" w:hAnsiTheme="minorHAnsi" w:cstheme="minorHAnsi"/>
        </w:rPr>
        <w:t>L</w:t>
      </w:r>
      <w:r w:rsidR="007A2E7F" w:rsidRPr="008603F4">
        <w:rPr>
          <w:rFonts w:asciiTheme="minorHAnsi" w:hAnsiTheme="minorHAnsi" w:cstheme="minorHAnsi"/>
        </w:rPr>
        <w:t xml:space="preserve">e Compte Personnel de Formation du salarié </w:t>
      </w:r>
      <w:r>
        <w:rPr>
          <w:rFonts w:asciiTheme="minorHAnsi" w:hAnsiTheme="minorHAnsi" w:cstheme="minorHAnsi"/>
        </w:rPr>
        <w:t>est a</w:t>
      </w:r>
      <w:r w:rsidRPr="008603F4">
        <w:rPr>
          <w:rFonts w:asciiTheme="minorHAnsi" w:hAnsiTheme="minorHAnsi" w:cstheme="minorHAnsi"/>
        </w:rPr>
        <w:t xml:space="preserve">limenté par une contribution spécifique de 0,2% de la masse salariale </w:t>
      </w:r>
      <w:r>
        <w:rPr>
          <w:rFonts w:asciiTheme="minorHAnsi" w:hAnsiTheme="minorHAnsi" w:cstheme="minorHAnsi"/>
        </w:rPr>
        <w:t xml:space="preserve">qui </w:t>
      </w:r>
      <w:r w:rsidR="007A2E7F" w:rsidRPr="008603F4">
        <w:rPr>
          <w:rFonts w:asciiTheme="minorHAnsi" w:hAnsiTheme="minorHAnsi" w:cstheme="minorHAnsi"/>
        </w:rPr>
        <w:t>peut, dans le cadre d’un accord d’entreprise, ne pas être versée à l’OPCA et être gérée directement par l’entreprise</w:t>
      </w:r>
      <w:r w:rsidR="00080DD3" w:rsidRPr="00080DD3">
        <w:rPr>
          <w:rFonts w:asciiTheme="minorHAnsi" w:hAnsiTheme="minorHAnsi" w:cstheme="minorHAnsi"/>
        </w:rPr>
        <w:t xml:space="preserve"> </w:t>
      </w:r>
      <w:r w:rsidR="00080DD3" w:rsidRPr="008603F4">
        <w:rPr>
          <w:rFonts w:asciiTheme="minorHAnsi" w:hAnsiTheme="minorHAnsi" w:cstheme="minorHAnsi"/>
        </w:rPr>
        <w:t>à compter du 28 février 2016</w:t>
      </w:r>
      <w:r w:rsidR="007A2E7F" w:rsidRPr="008603F4">
        <w:rPr>
          <w:rFonts w:asciiTheme="minorHAnsi" w:hAnsiTheme="minorHAnsi" w:cstheme="minorHAnsi"/>
        </w:rPr>
        <w:t xml:space="preserve">. </w:t>
      </w:r>
    </w:p>
    <w:p w:rsidR="007A2E7F" w:rsidRPr="008603F4" w:rsidRDefault="007A2E7F" w:rsidP="008603F4">
      <w:pPr>
        <w:jc w:val="both"/>
        <w:rPr>
          <w:rFonts w:asciiTheme="minorHAnsi" w:hAnsiTheme="minorHAnsi" w:cstheme="minorHAnsi"/>
        </w:rPr>
      </w:pPr>
    </w:p>
    <w:p w:rsidR="007A2E7F" w:rsidRPr="008603F4" w:rsidRDefault="00080DD3" w:rsidP="008603F4">
      <w:pPr>
        <w:jc w:val="both"/>
        <w:rPr>
          <w:rFonts w:asciiTheme="minorHAnsi" w:hAnsiTheme="minorHAnsi" w:cstheme="minorHAnsi"/>
        </w:rPr>
      </w:pPr>
      <w:r>
        <w:rPr>
          <w:rFonts w:asciiTheme="minorHAnsi" w:hAnsiTheme="minorHAnsi" w:cstheme="minorHAnsi"/>
        </w:rPr>
        <w:t xml:space="preserve">Au moment de l’enquête, une majorité de sondés ne se prononce pas sur leurs </w:t>
      </w:r>
      <w:r w:rsidR="008603F4">
        <w:rPr>
          <w:rFonts w:asciiTheme="minorHAnsi" w:hAnsiTheme="minorHAnsi" w:cstheme="minorHAnsi"/>
        </w:rPr>
        <w:t>intentions</w:t>
      </w:r>
      <w:r>
        <w:rPr>
          <w:rFonts w:asciiTheme="minorHAnsi" w:hAnsiTheme="minorHAnsi" w:cstheme="minorHAnsi"/>
        </w:rPr>
        <w:t xml:space="preserve"> de</w:t>
      </w:r>
      <w:r w:rsidR="007A2E7F" w:rsidRPr="008603F4">
        <w:rPr>
          <w:rFonts w:asciiTheme="minorHAnsi" w:hAnsiTheme="minorHAnsi" w:cstheme="minorHAnsi"/>
        </w:rPr>
        <w:t xml:space="preserve"> gestion </w:t>
      </w:r>
      <w:r>
        <w:rPr>
          <w:rFonts w:asciiTheme="minorHAnsi" w:hAnsiTheme="minorHAnsi" w:cstheme="minorHAnsi"/>
        </w:rPr>
        <w:t>du CPF</w:t>
      </w:r>
      <w:r w:rsidR="0083695C">
        <w:rPr>
          <w:rFonts w:asciiTheme="minorHAnsi" w:hAnsiTheme="minorHAnsi" w:cstheme="minorHAnsi"/>
        </w:rPr>
        <w:t> ; e</w:t>
      </w:r>
      <w:r w:rsidR="001E2731">
        <w:rPr>
          <w:rFonts w:asciiTheme="minorHAnsi" w:hAnsiTheme="minorHAnsi" w:cstheme="minorHAnsi"/>
        </w:rPr>
        <w:t>t ils sont beaucoup plus nombreux à envisager le versement à l’OPCA (76% des prestataires transport logistique de 50 à 99 salariés) qu</w:t>
      </w:r>
      <w:r w:rsidR="009A5123">
        <w:rPr>
          <w:rFonts w:asciiTheme="minorHAnsi" w:hAnsiTheme="minorHAnsi" w:cstheme="minorHAnsi"/>
        </w:rPr>
        <w:t>e la gestion directe par l’</w:t>
      </w:r>
      <w:r w:rsidR="0083695C">
        <w:rPr>
          <w:rFonts w:asciiTheme="minorHAnsi" w:hAnsiTheme="minorHAnsi" w:cstheme="minorHAnsi"/>
        </w:rPr>
        <w:t>e</w:t>
      </w:r>
      <w:r w:rsidR="009A5123">
        <w:rPr>
          <w:rFonts w:asciiTheme="minorHAnsi" w:hAnsiTheme="minorHAnsi" w:cstheme="minorHAnsi"/>
        </w:rPr>
        <w:t>nt</w:t>
      </w:r>
      <w:r w:rsidR="0083695C">
        <w:rPr>
          <w:rFonts w:asciiTheme="minorHAnsi" w:hAnsiTheme="minorHAnsi" w:cstheme="minorHAnsi"/>
        </w:rPr>
        <w:t>r</w:t>
      </w:r>
      <w:r w:rsidR="009A5123">
        <w:rPr>
          <w:rFonts w:asciiTheme="minorHAnsi" w:hAnsiTheme="minorHAnsi" w:cstheme="minorHAnsi"/>
        </w:rPr>
        <w:t xml:space="preserve">eprise </w:t>
      </w:r>
      <w:r w:rsidR="0083695C">
        <w:rPr>
          <w:rFonts w:asciiTheme="minorHAnsi" w:hAnsiTheme="minorHAnsi" w:cstheme="minorHAnsi"/>
        </w:rPr>
        <w:t>(seulement 6% des prestataires transport logistique de 50 à 99 salariés).</w:t>
      </w:r>
    </w:p>
    <w:p w:rsidR="0040654C" w:rsidRDefault="0040654C" w:rsidP="0083695C">
      <w:pPr>
        <w:jc w:val="both"/>
        <w:rPr>
          <w:rFonts w:asciiTheme="minorHAnsi" w:hAnsiTheme="minorHAnsi" w:cstheme="minorHAnsi"/>
        </w:rPr>
      </w:pPr>
    </w:p>
    <w:p w:rsidR="00937C8D" w:rsidRDefault="00EE5CAF" w:rsidP="00EE5CAF">
      <w:pPr>
        <w:jc w:val="center"/>
        <w:rPr>
          <w:rFonts w:asciiTheme="minorHAnsi" w:hAnsiTheme="minorHAnsi" w:cstheme="minorHAnsi"/>
          <w:b/>
        </w:rPr>
      </w:pPr>
      <w:r w:rsidRPr="00EE5CAF">
        <w:rPr>
          <w:rFonts w:asciiTheme="minorHAnsi" w:hAnsiTheme="minorHAnsi" w:cstheme="minorHAnsi"/>
          <w:b/>
        </w:rPr>
        <w:t xml:space="preserve">Pourcentage d’établissements prêts, au moment de l’enquête, à remettre dans les délais aux salariés </w:t>
      </w:r>
    </w:p>
    <w:p w:rsidR="00A13BBE" w:rsidRPr="00EE5CAF" w:rsidRDefault="00EE5CAF" w:rsidP="00EE5CAF">
      <w:pPr>
        <w:jc w:val="center"/>
        <w:rPr>
          <w:rFonts w:asciiTheme="minorHAnsi" w:hAnsiTheme="minorHAnsi" w:cstheme="minorHAnsi"/>
          <w:b/>
        </w:rPr>
      </w:pPr>
      <w:r w:rsidRPr="00EE5CAF">
        <w:rPr>
          <w:rFonts w:asciiTheme="minorHAnsi" w:hAnsiTheme="minorHAnsi" w:cstheme="minorHAnsi"/>
          <w:b/>
        </w:rPr>
        <w:t>leur solde des droits acquis non utilisés du DIF au 31/12/2014</w:t>
      </w:r>
    </w:p>
    <w:p w:rsidR="00A13BBE" w:rsidRPr="00B56E74" w:rsidRDefault="00A13BBE" w:rsidP="00A13BBE">
      <w:pPr>
        <w:rPr>
          <w:rFonts w:asciiTheme="minorHAnsi" w:hAnsiTheme="minorHAnsi" w:cstheme="minorHAnsi"/>
          <w:i/>
          <w:iCs/>
        </w:rPr>
      </w:pPr>
      <w:r w:rsidRPr="00B56E74">
        <w:rPr>
          <w:rFonts w:asciiTheme="minorHAnsi" w:hAnsiTheme="minorHAnsi" w:cstheme="minorHAnsi"/>
          <w:i/>
          <w:iCs/>
        </w:rPr>
        <w:t xml:space="preserve">Etablissements de 100 salariés et plus </w:t>
      </w:r>
      <w:r w:rsidRPr="00B56E74">
        <w:rPr>
          <w:rFonts w:asciiTheme="minorHAnsi" w:hAnsiTheme="minorHAnsi" w:cstheme="minorHAnsi"/>
          <w:i/>
          <w:iCs/>
        </w:rPr>
        <w:tab/>
        <w:t xml:space="preserve">                                                      </w:t>
      </w:r>
    </w:p>
    <w:tbl>
      <w:tblPr>
        <w:tblStyle w:val="Trameclaire-Accent5"/>
        <w:tblW w:w="10875" w:type="dxa"/>
        <w:tblLook w:val="04A0" w:firstRow="1" w:lastRow="0" w:firstColumn="1" w:lastColumn="0" w:noHBand="0" w:noVBand="1"/>
      </w:tblPr>
      <w:tblGrid>
        <w:gridCol w:w="2235"/>
        <w:gridCol w:w="1080"/>
        <w:gridCol w:w="1080"/>
        <w:gridCol w:w="1080"/>
        <w:gridCol w:w="1080"/>
        <w:gridCol w:w="1080"/>
        <w:gridCol w:w="1080"/>
        <w:gridCol w:w="1080"/>
        <w:gridCol w:w="1080"/>
      </w:tblGrid>
      <w:tr w:rsidR="00A13BBE" w:rsidRPr="00937C8D" w:rsidTr="0021377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13BBE" w:rsidRPr="00937C8D" w:rsidRDefault="00A13BBE">
            <w:pPr>
              <w:rPr>
                <w:rFonts w:ascii="Calibri" w:hAnsi="Calibri" w:cs="Calibri"/>
                <w:b w:val="0"/>
                <w:color w:val="000000"/>
                <w:sz w:val="20"/>
                <w:szCs w:val="20"/>
              </w:rPr>
            </w:pP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IAA</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PHAR</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AUTO</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IEM</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CHIM</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COM</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TRP</w:t>
            </w:r>
          </w:p>
        </w:tc>
        <w:tc>
          <w:tcPr>
            <w:tcW w:w="1080" w:type="dxa"/>
            <w:noWrap/>
            <w:hideMark/>
          </w:tcPr>
          <w:p w:rsidR="00A13BBE" w:rsidRPr="00937C8D" w:rsidRDefault="00A13BBE"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Total</w:t>
            </w:r>
          </w:p>
        </w:tc>
      </w:tr>
      <w:tr w:rsidR="00EE5CAF"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13BBE" w:rsidRPr="00937C8D" w:rsidRDefault="00A13BBE">
            <w:pPr>
              <w:rPr>
                <w:rFonts w:ascii="Calibri" w:hAnsi="Calibri" w:cs="Calibri"/>
                <w:b w:val="0"/>
                <w:color w:val="000000"/>
                <w:sz w:val="20"/>
                <w:szCs w:val="20"/>
              </w:rPr>
            </w:pPr>
            <w:r w:rsidRPr="00937C8D">
              <w:rPr>
                <w:rFonts w:ascii="Calibri" w:hAnsi="Calibri" w:cs="Calibri"/>
                <w:b w:val="0"/>
                <w:color w:val="000000"/>
                <w:sz w:val="20"/>
                <w:szCs w:val="20"/>
              </w:rPr>
              <w:t>Oui</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96%</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85%</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100%</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86%</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81%</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85%</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93%</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89%</w:t>
            </w:r>
          </w:p>
        </w:tc>
      </w:tr>
      <w:tr w:rsidR="00A13BBE" w:rsidRPr="00937C8D" w:rsidTr="0021377D">
        <w:trPr>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13BBE" w:rsidRPr="00937C8D" w:rsidRDefault="00A13BBE">
            <w:pPr>
              <w:rPr>
                <w:rFonts w:ascii="Calibri" w:hAnsi="Calibri" w:cs="Calibri"/>
                <w:b w:val="0"/>
                <w:color w:val="000000"/>
                <w:sz w:val="20"/>
                <w:szCs w:val="20"/>
              </w:rPr>
            </w:pPr>
            <w:r w:rsidRPr="00937C8D">
              <w:rPr>
                <w:rFonts w:ascii="Calibri" w:hAnsi="Calibri" w:cs="Calibri"/>
                <w:b w:val="0"/>
                <w:color w:val="000000"/>
                <w:sz w:val="20"/>
                <w:szCs w:val="20"/>
              </w:rPr>
              <w:t>Non</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0%</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5%</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6%</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w:t>
            </w:r>
          </w:p>
        </w:tc>
        <w:tc>
          <w:tcPr>
            <w:tcW w:w="1080" w:type="dxa"/>
            <w:noWrap/>
            <w:hideMark/>
          </w:tcPr>
          <w:p w:rsidR="00A13BBE" w:rsidRPr="00937C8D" w:rsidRDefault="00A13BBE"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4%</w:t>
            </w:r>
          </w:p>
        </w:tc>
      </w:tr>
      <w:tr w:rsidR="00EE5CAF"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13BBE" w:rsidRPr="00937C8D" w:rsidRDefault="00A13BBE">
            <w:pPr>
              <w:rPr>
                <w:rFonts w:ascii="Calibri" w:hAnsi="Calibri" w:cs="Calibri"/>
                <w:b w:val="0"/>
                <w:color w:val="000000"/>
                <w:sz w:val="20"/>
                <w:szCs w:val="20"/>
              </w:rPr>
            </w:pPr>
            <w:r w:rsidRPr="00937C8D">
              <w:rPr>
                <w:rFonts w:ascii="Calibri" w:hAnsi="Calibri" w:cs="Calibri"/>
                <w:b w:val="0"/>
                <w:color w:val="000000"/>
                <w:sz w:val="20"/>
                <w:szCs w:val="20"/>
              </w:rPr>
              <w:t>Ne se prononce pas</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2%</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11%</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0%</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10%</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16%</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0%</w:t>
            </w:r>
          </w:p>
        </w:tc>
        <w:tc>
          <w:tcPr>
            <w:tcW w:w="1080" w:type="dxa"/>
            <w:noWrap/>
            <w:hideMark/>
          </w:tcPr>
          <w:p w:rsidR="00A13BBE" w:rsidRPr="00937C8D" w:rsidRDefault="00A13BBE"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w:t>
            </w:r>
          </w:p>
        </w:tc>
      </w:tr>
    </w:tbl>
    <w:p w:rsidR="00A13BBE" w:rsidRPr="00937C8D" w:rsidRDefault="00A13BBE" w:rsidP="0083695C">
      <w:pPr>
        <w:jc w:val="both"/>
        <w:rPr>
          <w:rFonts w:asciiTheme="minorHAnsi" w:hAnsiTheme="minorHAnsi" w:cstheme="minorHAnsi"/>
          <w:sz w:val="20"/>
        </w:rPr>
      </w:pPr>
    </w:p>
    <w:p w:rsidR="00A13BBE" w:rsidRDefault="00A13BBE" w:rsidP="00A13BBE">
      <w:pPr>
        <w:rPr>
          <w:rFonts w:asciiTheme="minorHAnsi" w:hAnsiTheme="minorHAnsi" w:cstheme="minorHAnsi"/>
          <w:b/>
          <w:color w:val="4F6228"/>
          <w:sz w:val="28"/>
        </w:rPr>
      </w:pPr>
      <w:r w:rsidRPr="00B56E74">
        <w:rPr>
          <w:rFonts w:asciiTheme="minorHAnsi" w:hAnsiTheme="minorHAnsi" w:cstheme="minorHAnsi"/>
          <w:i/>
          <w:iCs/>
        </w:rPr>
        <w:t>Etablissements de 50 à 99 salariés</w:t>
      </w:r>
    </w:p>
    <w:tbl>
      <w:tblPr>
        <w:tblStyle w:val="Trameclaire-Accent5"/>
        <w:tblW w:w="5702" w:type="dxa"/>
        <w:tblLook w:val="04A0" w:firstRow="1" w:lastRow="0" w:firstColumn="1" w:lastColumn="0" w:noHBand="0" w:noVBand="1"/>
      </w:tblPr>
      <w:tblGrid>
        <w:gridCol w:w="2093"/>
        <w:gridCol w:w="1417"/>
        <w:gridCol w:w="1096"/>
        <w:gridCol w:w="1096"/>
      </w:tblGrid>
      <w:tr w:rsidR="00EE5CAF" w:rsidRPr="00937C8D" w:rsidTr="0021377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93" w:type="dxa"/>
          </w:tcPr>
          <w:p w:rsidR="00EE5CAF" w:rsidRPr="00937C8D" w:rsidRDefault="00EE5CAF">
            <w:pPr>
              <w:rPr>
                <w:rFonts w:ascii="Calibri" w:hAnsi="Calibri" w:cs="Calibri"/>
                <w:b w:val="0"/>
                <w:color w:val="000000"/>
                <w:sz w:val="20"/>
                <w:szCs w:val="20"/>
              </w:rPr>
            </w:pPr>
          </w:p>
        </w:tc>
        <w:tc>
          <w:tcPr>
            <w:tcW w:w="1417" w:type="dxa"/>
            <w:noWrap/>
            <w:hideMark/>
          </w:tcPr>
          <w:p w:rsidR="00EE5CAF" w:rsidRPr="00937C8D" w:rsidRDefault="00EE5CAF"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COM</w:t>
            </w:r>
          </w:p>
        </w:tc>
        <w:tc>
          <w:tcPr>
            <w:tcW w:w="1096" w:type="dxa"/>
            <w:noWrap/>
            <w:hideMark/>
          </w:tcPr>
          <w:p w:rsidR="00EE5CAF" w:rsidRPr="00937C8D" w:rsidRDefault="00EE5CAF"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TRP</w:t>
            </w:r>
          </w:p>
        </w:tc>
        <w:tc>
          <w:tcPr>
            <w:tcW w:w="1096" w:type="dxa"/>
            <w:noWrap/>
            <w:hideMark/>
          </w:tcPr>
          <w:p w:rsidR="00EE5CAF" w:rsidRPr="00937C8D" w:rsidRDefault="00EE5CAF" w:rsidP="00937C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0"/>
              </w:rPr>
            </w:pPr>
            <w:r w:rsidRPr="00937C8D">
              <w:rPr>
                <w:rFonts w:ascii="Calibri" w:hAnsi="Calibri" w:cs="Calibri"/>
                <w:b w:val="0"/>
                <w:color w:val="000000"/>
                <w:sz w:val="20"/>
                <w:szCs w:val="20"/>
              </w:rPr>
              <w:t>Total</w:t>
            </w:r>
          </w:p>
        </w:tc>
      </w:tr>
      <w:tr w:rsidR="00EE5CAF"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93" w:type="dxa"/>
          </w:tcPr>
          <w:p w:rsidR="00EE5CAF" w:rsidRPr="00937C8D" w:rsidRDefault="00EE5CAF" w:rsidP="00065716">
            <w:pPr>
              <w:rPr>
                <w:rFonts w:ascii="Calibri" w:hAnsi="Calibri" w:cs="Calibri"/>
                <w:b w:val="0"/>
                <w:color w:val="000000"/>
                <w:sz w:val="20"/>
                <w:szCs w:val="20"/>
              </w:rPr>
            </w:pPr>
            <w:r w:rsidRPr="00937C8D">
              <w:rPr>
                <w:rFonts w:ascii="Calibri" w:hAnsi="Calibri" w:cs="Calibri"/>
                <w:b w:val="0"/>
                <w:color w:val="000000"/>
                <w:sz w:val="20"/>
                <w:szCs w:val="20"/>
              </w:rPr>
              <w:t>Oui</w:t>
            </w:r>
          </w:p>
        </w:tc>
        <w:tc>
          <w:tcPr>
            <w:tcW w:w="1417" w:type="dxa"/>
            <w:noWrap/>
            <w:hideMark/>
          </w:tcPr>
          <w:p w:rsidR="00EE5CAF" w:rsidRPr="00937C8D" w:rsidRDefault="00EE5CA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77%</w:t>
            </w:r>
          </w:p>
        </w:tc>
        <w:tc>
          <w:tcPr>
            <w:tcW w:w="1096" w:type="dxa"/>
            <w:noWrap/>
            <w:hideMark/>
          </w:tcPr>
          <w:p w:rsidR="00EE5CAF" w:rsidRPr="00937C8D" w:rsidRDefault="00EE5CA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97%</w:t>
            </w:r>
          </w:p>
        </w:tc>
        <w:tc>
          <w:tcPr>
            <w:tcW w:w="1096" w:type="dxa"/>
            <w:noWrap/>
            <w:hideMark/>
          </w:tcPr>
          <w:p w:rsidR="00EE5CAF" w:rsidRPr="00937C8D" w:rsidRDefault="00EE5CA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85%</w:t>
            </w:r>
          </w:p>
        </w:tc>
      </w:tr>
      <w:tr w:rsidR="00EE5CAF" w:rsidRPr="00937C8D" w:rsidTr="0021377D">
        <w:trPr>
          <w:trHeight w:val="225"/>
        </w:trPr>
        <w:tc>
          <w:tcPr>
            <w:cnfStyle w:val="001000000000" w:firstRow="0" w:lastRow="0" w:firstColumn="1" w:lastColumn="0" w:oddVBand="0" w:evenVBand="0" w:oddHBand="0" w:evenHBand="0" w:firstRowFirstColumn="0" w:firstRowLastColumn="0" w:lastRowFirstColumn="0" w:lastRowLastColumn="0"/>
            <w:tcW w:w="2093" w:type="dxa"/>
          </w:tcPr>
          <w:p w:rsidR="00EE5CAF" w:rsidRPr="00937C8D" w:rsidRDefault="00EE5CAF" w:rsidP="00065716">
            <w:pPr>
              <w:rPr>
                <w:rFonts w:ascii="Calibri" w:hAnsi="Calibri" w:cs="Calibri"/>
                <w:b w:val="0"/>
                <w:color w:val="000000"/>
                <w:sz w:val="20"/>
                <w:szCs w:val="20"/>
              </w:rPr>
            </w:pPr>
            <w:r w:rsidRPr="00937C8D">
              <w:rPr>
                <w:rFonts w:ascii="Calibri" w:hAnsi="Calibri" w:cs="Calibri"/>
                <w:b w:val="0"/>
                <w:color w:val="000000"/>
                <w:sz w:val="20"/>
                <w:szCs w:val="20"/>
              </w:rPr>
              <w:t>Non</w:t>
            </w:r>
          </w:p>
        </w:tc>
        <w:tc>
          <w:tcPr>
            <w:tcW w:w="1417" w:type="dxa"/>
            <w:noWrap/>
            <w:hideMark/>
          </w:tcPr>
          <w:p w:rsidR="00EE5CAF" w:rsidRPr="00937C8D" w:rsidRDefault="00EE5CAF"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8%</w:t>
            </w:r>
          </w:p>
        </w:tc>
        <w:tc>
          <w:tcPr>
            <w:tcW w:w="1096" w:type="dxa"/>
            <w:noWrap/>
            <w:hideMark/>
          </w:tcPr>
          <w:p w:rsidR="00EE5CAF" w:rsidRPr="00937C8D" w:rsidRDefault="00EE5CAF"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3%</w:t>
            </w:r>
          </w:p>
        </w:tc>
        <w:tc>
          <w:tcPr>
            <w:tcW w:w="1096" w:type="dxa"/>
            <w:noWrap/>
            <w:hideMark/>
          </w:tcPr>
          <w:p w:rsidR="00EE5CAF" w:rsidRPr="00937C8D" w:rsidRDefault="00EE5CAF" w:rsidP="00937C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6%</w:t>
            </w:r>
          </w:p>
        </w:tc>
      </w:tr>
      <w:tr w:rsidR="00EE5CAF" w:rsidRPr="00937C8D" w:rsidTr="002137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93" w:type="dxa"/>
          </w:tcPr>
          <w:p w:rsidR="00EE5CAF" w:rsidRPr="00937C8D" w:rsidRDefault="00EE5CAF" w:rsidP="00065716">
            <w:pPr>
              <w:rPr>
                <w:rFonts w:ascii="Calibri" w:hAnsi="Calibri" w:cs="Calibri"/>
                <w:b w:val="0"/>
                <w:color w:val="000000"/>
                <w:sz w:val="20"/>
                <w:szCs w:val="20"/>
              </w:rPr>
            </w:pPr>
            <w:r w:rsidRPr="00937C8D">
              <w:rPr>
                <w:rFonts w:ascii="Calibri" w:hAnsi="Calibri" w:cs="Calibri"/>
                <w:b w:val="0"/>
                <w:color w:val="000000"/>
                <w:sz w:val="20"/>
                <w:szCs w:val="20"/>
              </w:rPr>
              <w:t>Ne se prononce pas</w:t>
            </w:r>
          </w:p>
        </w:tc>
        <w:tc>
          <w:tcPr>
            <w:tcW w:w="1417" w:type="dxa"/>
            <w:noWrap/>
            <w:hideMark/>
          </w:tcPr>
          <w:p w:rsidR="00EE5CAF" w:rsidRPr="00937C8D" w:rsidRDefault="00EE5CA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15%</w:t>
            </w:r>
          </w:p>
        </w:tc>
        <w:tc>
          <w:tcPr>
            <w:tcW w:w="1096" w:type="dxa"/>
            <w:noWrap/>
            <w:hideMark/>
          </w:tcPr>
          <w:p w:rsidR="00EE5CAF" w:rsidRPr="00937C8D" w:rsidRDefault="00EE5CA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0%</w:t>
            </w:r>
          </w:p>
        </w:tc>
        <w:tc>
          <w:tcPr>
            <w:tcW w:w="1096" w:type="dxa"/>
            <w:noWrap/>
            <w:hideMark/>
          </w:tcPr>
          <w:p w:rsidR="00EE5CAF" w:rsidRPr="00937C8D" w:rsidRDefault="00EE5CAF" w:rsidP="00937C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37C8D">
              <w:rPr>
                <w:rFonts w:ascii="Calibri" w:hAnsi="Calibri" w:cs="Calibri"/>
                <w:color w:val="000000"/>
                <w:sz w:val="20"/>
                <w:szCs w:val="20"/>
              </w:rPr>
              <w:t>9%</w:t>
            </w:r>
          </w:p>
        </w:tc>
      </w:tr>
    </w:tbl>
    <w:p w:rsidR="00A13BBE" w:rsidRDefault="00A13BBE" w:rsidP="0083695C">
      <w:pPr>
        <w:jc w:val="both"/>
        <w:rPr>
          <w:rFonts w:asciiTheme="minorHAnsi" w:hAnsiTheme="minorHAnsi" w:cstheme="minorHAnsi"/>
        </w:rPr>
      </w:pPr>
    </w:p>
    <w:p w:rsidR="00A13BBE" w:rsidRPr="00937C8D" w:rsidRDefault="00EE5CAF" w:rsidP="0083695C">
      <w:pPr>
        <w:jc w:val="both"/>
        <w:rPr>
          <w:rFonts w:asciiTheme="minorHAnsi" w:hAnsiTheme="minorHAnsi" w:cstheme="minorHAnsi"/>
          <w:szCs w:val="22"/>
        </w:rPr>
      </w:pPr>
      <w:r w:rsidRPr="00937C8D">
        <w:rPr>
          <w:rFonts w:asciiTheme="minorHAnsi" w:hAnsiTheme="minorHAnsi" w:cstheme="minorHAnsi"/>
          <w:szCs w:val="22"/>
        </w:rPr>
        <w:t>Les entreprises devaient remettre</w:t>
      </w:r>
      <w:r w:rsidR="00A13BBE" w:rsidRPr="00937C8D">
        <w:rPr>
          <w:rFonts w:asciiTheme="minorHAnsi" w:hAnsiTheme="minorHAnsi" w:cstheme="minorHAnsi"/>
          <w:szCs w:val="22"/>
        </w:rPr>
        <w:t xml:space="preserve"> avant le 31 janvier 2015 </w:t>
      </w:r>
      <w:r w:rsidRPr="00937C8D">
        <w:rPr>
          <w:rFonts w:asciiTheme="minorHAnsi" w:hAnsiTheme="minorHAnsi" w:cstheme="minorHAnsi"/>
          <w:szCs w:val="22"/>
        </w:rPr>
        <w:t>aux</w:t>
      </w:r>
      <w:r w:rsidR="00A13BBE" w:rsidRPr="00937C8D">
        <w:rPr>
          <w:rFonts w:asciiTheme="minorHAnsi" w:hAnsiTheme="minorHAnsi" w:cstheme="minorHAnsi"/>
          <w:szCs w:val="22"/>
        </w:rPr>
        <w:t xml:space="preserve"> salarié</w:t>
      </w:r>
      <w:r w:rsidRPr="00937C8D">
        <w:rPr>
          <w:rFonts w:asciiTheme="minorHAnsi" w:hAnsiTheme="minorHAnsi" w:cstheme="minorHAnsi"/>
          <w:szCs w:val="22"/>
        </w:rPr>
        <w:t>s</w:t>
      </w:r>
      <w:r w:rsidR="00A13BBE" w:rsidRPr="00937C8D">
        <w:rPr>
          <w:rFonts w:asciiTheme="minorHAnsi" w:hAnsiTheme="minorHAnsi" w:cstheme="minorHAnsi"/>
          <w:szCs w:val="22"/>
        </w:rPr>
        <w:t xml:space="preserve"> </w:t>
      </w:r>
      <w:r w:rsidRPr="00937C8D">
        <w:rPr>
          <w:rFonts w:asciiTheme="minorHAnsi" w:hAnsiTheme="minorHAnsi" w:cstheme="minorHAnsi"/>
          <w:szCs w:val="22"/>
        </w:rPr>
        <w:t>leur</w:t>
      </w:r>
      <w:r w:rsidR="00A13BBE" w:rsidRPr="00937C8D">
        <w:rPr>
          <w:rFonts w:asciiTheme="minorHAnsi" w:hAnsiTheme="minorHAnsi" w:cstheme="minorHAnsi"/>
          <w:szCs w:val="22"/>
        </w:rPr>
        <w:t xml:space="preserve"> solde des droits acquis non utilisés du DIF au 31/12/2014</w:t>
      </w:r>
      <w:r w:rsidRPr="00937C8D">
        <w:rPr>
          <w:rFonts w:asciiTheme="minorHAnsi" w:hAnsiTheme="minorHAnsi" w:cstheme="minorHAnsi"/>
          <w:szCs w:val="22"/>
        </w:rPr>
        <w:t xml:space="preserve">. Au moment de l’enquête, près de </w:t>
      </w:r>
      <w:r w:rsidR="00065716" w:rsidRPr="00937C8D">
        <w:rPr>
          <w:rFonts w:asciiTheme="minorHAnsi" w:hAnsiTheme="minorHAnsi" w:cstheme="minorHAnsi"/>
          <w:szCs w:val="22"/>
        </w:rPr>
        <w:t>neuf</w:t>
      </w:r>
      <w:r w:rsidRPr="00937C8D">
        <w:rPr>
          <w:rFonts w:asciiTheme="minorHAnsi" w:hAnsiTheme="minorHAnsi" w:cstheme="minorHAnsi"/>
          <w:szCs w:val="22"/>
        </w:rPr>
        <w:t xml:space="preserve"> étab</w:t>
      </w:r>
      <w:r w:rsidR="00065716" w:rsidRPr="00937C8D">
        <w:rPr>
          <w:rFonts w:asciiTheme="minorHAnsi" w:hAnsiTheme="minorHAnsi" w:cstheme="minorHAnsi"/>
          <w:szCs w:val="22"/>
        </w:rPr>
        <w:t xml:space="preserve">lissements sur dix se déclaraient en mesure de répondre à cette obligation dans les délais. </w:t>
      </w:r>
    </w:p>
    <w:p w:rsidR="00A13BBE" w:rsidRPr="00937C8D" w:rsidRDefault="00A13BBE" w:rsidP="0083695C">
      <w:pPr>
        <w:jc w:val="both"/>
        <w:rPr>
          <w:rFonts w:asciiTheme="minorHAnsi" w:hAnsiTheme="minorHAnsi" w:cstheme="minorHAnsi"/>
          <w:szCs w:val="22"/>
        </w:rPr>
      </w:pPr>
    </w:p>
    <w:p w:rsidR="006A5743" w:rsidRDefault="006A5743">
      <w:pPr>
        <w:rPr>
          <w:rFonts w:ascii="Arial Black" w:hAnsi="Arial Black" w:cs="Calibri"/>
          <w:b/>
          <w:bCs/>
          <w:color w:val="632423"/>
        </w:rPr>
      </w:pPr>
    </w:p>
    <w:p w:rsidR="002B1371" w:rsidRPr="00B56E74" w:rsidRDefault="00002BFA" w:rsidP="002B1371">
      <w:pPr>
        <w:rPr>
          <w:rFonts w:asciiTheme="minorHAnsi" w:hAnsiTheme="minorHAnsi" w:cstheme="minorHAnsi"/>
        </w:rPr>
      </w:pPr>
      <w:r w:rsidRPr="00514B37">
        <w:rPr>
          <w:rFonts w:ascii="Arial Black" w:hAnsi="Arial Black" w:cs="Calibri"/>
          <w:b/>
          <w:bCs/>
          <w:color w:val="632423"/>
        </w:rPr>
        <w:t>L</w:t>
      </w:r>
      <w:r w:rsidR="002B1371" w:rsidRPr="00514B37">
        <w:rPr>
          <w:rFonts w:ascii="Arial Black" w:hAnsi="Arial Black" w:cs="Calibri"/>
          <w:b/>
          <w:bCs/>
          <w:color w:val="632423"/>
        </w:rPr>
        <w:t xml:space="preserve">’effort de formation </w:t>
      </w:r>
      <w:r w:rsidR="0047543E">
        <w:rPr>
          <w:rFonts w:ascii="Arial Black" w:hAnsi="Arial Black" w:cs="Calibri"/>
          <w:b/>
          <w:bCs/>
          <w:color w:val="632423"/>
        </w:rPr>
        <w:t>pourrait se contracter en</w:t>
      </w:r>
      <w:r w:rsidR="002B1371" w:rsidRPr="00514B37">
        <w:rPr>
          <w:rFonts w:ascii="Arial Black" w:hAnsi="Arial Black" w:cs="Calibri"/>
          <w:b/>
          <w:bCs/>
          <w:color w:val="632423"/>
        </w:rPr>
        <w:t xml:space="preserve"> 201</w:t>
      </w:r>
      <w:r w:rsidR="006A5743">
        <w:rPr>
          <w:rFonts w:ascii="Arial Black" w:hAnsi="Arial Black" w:cs="Calibri"/>
          <w:b/>
          <w:bCs/>
          <w:color w:val="632423"/>
        </w:rPr>
        <w:t>5</w:t>
      </w:r>
      <w:r w:rsidR="0047543E">
        <w:rPr>
          <w:rFonts w:ascii="Arial Black" w:hAnsi="Arial Black" w:cs="Calibri"/>
          <w:b/>
          <w:bCs/>
          <w:color w:val="632423"/>
        </w:rPr>
        <w:t xml:space="preserve"> chez les prestataires transport-logistique de moins de 100 salariés</w:t>
      </w:r>
    </w:p>
    <w:p w:rsidR="002B1371" w:rsidRPr="00B56E74" w:rsidRDefault="002B1371" w:rsidP="002B1371">
      <w:pPr>
        <w:rPr>
          <w:rFonts w:asciiTheme="minorHAnsi" w:hAnsiTheme="minorHAnsi" w:cstheme="minorHAnsi"/>
        </w:rPr>
      </w:pPr>
    </w:p>
    <w:p w:rsidR="002B1371" w:rsidRPr="00B56E74" w:rsidRDefault="002B1371" w:rsidP="002B1371">
      <w:pPr>
        <w:jc w:val="center"/>
        <w:rPr>
          <w:rFonts w:asciiTheme="minorHAnsi" w:hAnsiTheme="minorHAnsi" w:cstheme="minorHAnsi"/>
          <w:b/>
          <w:bCs/>
        </w:rPr>
      </w:pPr>
      <w:r w:rsidRPr="00B56E74">
        <w:rPr>
          <w:rFonts w:asciiTheme="minorHAnsi" w:hAnsiTheme="minorHAnsi" w:cstheme="minorHAnsi"/>
          <w:b/>
          <w:bCs/>
        </w:rPr>
        <w:t>Evolution prévisible des effectifs logistiques envoyés en formation en 201</w:t>
      </w:r>
      <w:r w:rsidR="006A5743">
        <w:rPr>
          <w:rFonts w:asciiTheme="minorHAnsi" w:hAnsiTheme="minorHAnsi" w:cstheme="minorHAnsi"/>
          <w:b/>
          <w:bCs/>
        </w:rPr>
        <w:t>5</w:t>
      </w:r>
      <w:r w:rsidR="00514B37">
        <w:rPr>
          <w:rFonts w:asciiTheme="minorHAnsi" w:hAnsiTheme="minorHAnsi" w:cstheme="minorHAnsi"/>
          <w:b/>
          <w:bCs/>
        </w:rPr>
        <w:t xml:space="preserve"> </w:t>
      </w:r>
      <w:r w:rsidRPr="00B56E74">
        <w:rPr>
          <w:rFonts w:asciiTheme="minorHAnsi" w:hAnsiTheme="minorHAnsi" w:cstheme="minorHAnsi"/>
          <w:b/>
          <w:bCs/>
        </w:rPr>
        <w:t>(en pourcentage d’établissements)</w:t>
      </w:r>
    </w:p>
    <w:p w:rsidR="002B1371" w:rsidRPr="00B56E74" w:rsidRDefault="002B1371" w:rsidP="002B1371">
      <w:pPr>
        <w:rPr>
          <w:rFonts w:asciiTheme="minorHAnsi" w:hAnsiTheme="minorHAnsi" w:cstheme="minorHAnsi"/>
        </w:rPr>
      </w:pPr>
    </w:p>
    <w:p w:rsidR="005B4FC4" w:rsidRPr="00B56E74" w:rsidRDefault="002B1371" w:rsidP="006A5743">
      <w:pPr>
        <w:ind w:left="709" w:firstLine="709"/>
        <w:rPr>
          <w:rFonts w:asciiTheme="minorHAnsi" w:hAnsiTheme="minorHAnsi" w:cstheme="minorHAnsi"/>
          <w:i/>
          <w:iCs/>
        </w:rPr>
      </w:pPr>
      <w:r w:rsidRPr="00B56E74">
        <w:rPr>
          <w:rFonts w:asciiTheme="minorHAnsi" w:hAnsiTheme="minorHAnsi" w:cstheme="minorHAnsi"/>
          <w:i/>
          <w:iCs/>
        </w:rPr>
        <w:t>Etablissements de 100 salariés et plus</w:t>
      </w:r>
      <w:r w:rsidR="005B4FC4">
        <w:rPr>
          <w:rFonts w:asciiTheme="minorHAnsi" w:hAnsiTheme="minorHAnsi" w:cstheme="minorHAnsi"/>
          <w:i/>
          <w:iCs/>
        </w:rPr>
        <w:t xml:space="preserve">                                                                      </w:t>
      </w:r>
      <w:r w:rsidR="005B4FC4" w:rsidRPr="00B56E74">
        <w:rPr>
          <w:rFonts w:asciiTheme="minorHAnsi" w:hAnsiTheme="minorHAnsi" w:cstheme="minorHAnsi"/>
          <w:i/>
          <w:iCs/>
        </w:rPr>
        <w:t>Etablissements de 50 à 99 salariés</w:t>
      </w:r>
    </w:p>
    <w:p w:rsidR="003C10BE" w:rsidRPr="00B56E74" w:rsidRDefault="003C10BE" w:rsidP="002B1371">
      <w:pPr>
        <w:rPr>
          <w:rFonts w:asciiTheme="minorHAnsi" w:hAnsiTheme="minorHAnsi" w:cstheme="minorHAnsi"/>
          <w:i/>
          <w:iCs/>
        </w:rPr>
      </w:pPr>
      <w:r>
        <w:rPr>
          <w:rFonts w:asciiTheme="minorHAnsi" w:hAnsiTheme="minorHAnsi" w:cstheme="minorHAnsi"/>
          <w:i/>
          <w:iCs/>
          <w:noProof/>
        </w:rPr>
        <w:drawing>
          <wp:inline distT="0" distB="0" distL="0" distR="0" wp14:anchorId="23871936" wp14:editId="10DEF6A6">
            <wp:extent cx="4533900" cy="2181225"/>
            <wp:effectExtent l="0" t="0" r="19050" b="9525"/>
            <wp:docPr id="294" name="Graphique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0B2034">
        <w:rPr>
          <w:rFonts w:asciiTheme="minorHAnsi" w:hAnsiTheme="minorHAnsi" w:cstheme="minorHAnsi"/>
          <w:i/>
          <w:iCs/>
        </w:rPr>
        <w:t xml:space="preserve"> </w:t>
      </w:r>
      <w:r w:rsidR="004C79D4">
        <w:rPr>
          <w:rFonts w:asciiTheme="minorHAnsi" w:hAnsiTheme="minorHAnsi" w:cstheme="minorHAnsi"/>
          <w:i/>
          <w:iCs/>
          <w:noProof/>
        </w:rPr>
        <w:drawing>
          <wp:inline distT="0" distB="0" distL="0" distR="0" wp14:anchorId="54A90376" wp14:editId="72F6B8CE">
            <wp:extent cx="4562475" cy="2171700"/>
            <wp:effectExtent l="0" t="0" r="9525" b="19050"/>
            <wp:docPr id="295" name="Graphique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7543E" w:rsidRDefault="0047543E" w:rsidP="00FC02A9">
      <w:pPr>
        <w:jc w:val="both"/>
        <w:rPr>
          <w:rFonts w:asciiTheme="minorHAnsi" w:hAnsiTheme="minorHAnsi" w:cstheme="minorHAnsi"/>
        </w:rPr>
      </w:pPr>
    </w:p>
    <w:p w:rsidR="00FC02A9" w:rsidRDefault="0047543E" w:rsidP="00FC02A9">
      <w:pPr>
        <w:jc w:val="both"/>
        <w:rPr>
          <w:rFonts w:asciiTheme="minorHAnsi" w:hAnsiTheme="minorHAnsi" w:cstheme="minorHAnsi"/>
        </w:rPr>
      </w:pPr>
      <w:r>
        <w:rPr>
          <w:rFonts w:asciiTheme="minorHAnsi" w:hAnsiTheme="minorHAnsi" w:cstheme="minorHAnsi"/>
        </w:rPr>
        <w:t>Globalement, l</w:t>
      </w:r>
      <w:r w:rsidR="006A5743">
        <w:rPr>
          <w:rFonts w:asciiTheme="minorHAnsi" w:hAnsiTheme="minorHAnsi" w:cstheme="minorHAnsi"/>
        </w:rPr>
        <w:t xml:space="preserve">es sondés continuent d’être plus nombreux </w:t>
      </w:r>
      <w:r>
        <w:rPr>
          <w:rFonts w:asciiTheme="minorHAnsi" w:hAnsiTheme="minorHAnsi" w:cstheme="minorHAnsi"/>
        </w:rPr>
        <w:t xml:space="preserve">à envisager un accroissement des effectifs logistiques envoyés en formation (18% des établissements de 100 salariés et plus) qu’une compression du nombre de ceux-ci (7% des établissements de 100 salariés et plus). </w:t>
      </w:r>
    </w:p>
    <w:p w:rsidR="0047543E" w:rsidRDefault="0047543E" w:rsidP="00FC02A9">
      <w:pPr>
        <w:jc w:val="both"/>
        <w:rPr>
          <w:rFonts w:asciiTheme="minorHAnsi" w:hAnsiTheme="minorHAnsi" w:cstheme="minorHAnsi"/>
        </w:rPr>
      </w:pPr>
    </w:p>
    <w:p w:rsidR="0047543E" w:rsidRDefault="0047543E" w:rsidP="00FC02A9">
      <w:pPr>
        <w:jc w:val="both"/>
        <w:rPr>
          <w:rFonts w:asciiTheme="minorHAnsi" w:hAnsiTheme="minorHAnsi" w:cstheme="minorHAnsi"/>
        </w:rPr>
      </w:pPr>
      <w:r>
        <w:rPr>
          <w:rFonts w:asciiTheme="minorHAnsi" w:hAnsiTheme="minorHAnsi" w:cstheme="minorHAnsi"/>
        </w:rPr>
        <w:t xml:space="preserve">Néanmoins, dans le cas notamment des prestataires transport-logistique de moins de 100 salariés, </w:t>
      </w:r>
      <w:r w:rsidR="00907BFE">
        <w:rPr>
          <w:rFonts w:asciiTheme="minorHAnsi" w:hAnsiTheme="minorHAnsi" w:cstheme="minorHAnsi"/>
        </w:rPr>
        <w:t xml:space="preserve">12% des établissements prévoient une contraction des effectifs logistiques en formation, et 9% leur progression. </w:t>
      </w:r>
      <w:r w:rsidR="00B427DF">
        <w:rPr>
          <w:rFonts w:asciiTheme="minorHAnsi" w:hAnsiTheme="minorHAnsi" w:cstheme="minorHAnsi"/>
        </w:rPr>
        <w:t xml:space="preserve">Il est vrai que pour ce secteur soumis à des obligations de formation forte (conduite, matières dangereuses…) la réforme de la formation professionnelle change la donne. </w:t>
      </w:r>
    </w:p>
    <w:p w:rsidR="006A5743" w:rsidRDefault="006A5743">
      <w:pPr>
        <w:rPr>
          <w:rFonts w:ascii="Arial Black" w:hAnsi="Arial Black" w:cs="Calibri"/>
          <w:b/>
          <w:bCs/>
          <w:color w:val="632423"/>
        </w:rPr>
      </w:pPr>
      <w:r>
        <w:rPr>
          <w:rFonts w:ascii="Arial Black" w:hAnsi="Arial Black" w:cs="Calibri"/>
          <w:b/>
          <w:bCs/>
          <w:color w:val="632423"/>
        </w:rPr>
        <w:br w:type="page"/>
      </w:r>
    </w:p>
    <w:p w:rsidR="00FC02A9" w:rsidRPr="005B4FC4" w:rsidRDefault="00FC02A9" w:rsidP="00FC02A9">
      <w:pPr>
        <w:rPr>
          <w:rFonts w:ascii="Arial Black" w:hAnsi="Arial Black" w:cs="Calibri"/>
          <w:b/>
          <w:bCs/>
          <w:color w:val="632423"/>
        </w:rPr>
      </w:pPr>
      <w:r w:rsidRPr="005B4FC4">
        <w:rPr>
          <w:rFonts w:ascii="Arial Black" w:hAnsi="Arial Black" w:cs="Calibri"/>
          <w:b/>
          <w:bCs/>
          <w:color w:val="632423"/>
        </w:rPr>
        <w:t xml:space="preserve">La </w:t>
      </w:r>
      <w:r w:rsidR="00A13BBE">
        <w:rPr>
          <w:rFonts w:ascii="Arial Black" w:hAnsi="Arial Black" w:cs="Calibri"/>
          <w:b/>
          <w:bCs/>
          <w:color w:val="632423"/>
        </w:rPr>
        <w:t xml:space="preserve">prévention des risques, motif de formation </w:t>
      </w:r>
      <w:r w:rsidR="00065716">
        <w:rPr>
          <w:rFonts w:ascii="Arial Black" w:hAnsi="Arial Black" w:cs="Calibri"/>
          <w:b/>
          <w:bCs/>
          <w:color w:val="632423"/>
        </w:rPr>
        <w:t xml:space="preserve">aussi important </w:t>
      </w:r>
      <w:r w:rsidR="00A13BBE">
        <w:rPr>
          <w:rFonts w:ascii="Arial Black" w:hAnsi="Arial Black" w:cs="Calibri"/>
          <w:b/>
          <w:bCs/>
          <w:color w:val="632423"/>
        </w:rPr>
        <w:t xml:space="preserve">pour le personnel d’encadrement logistique </w:t>
      </w:r>
      <w:r w:rsidR="00065716">
        <w:rPr>
          <w:rFonts w:ascii="Arial Black" w:hAnsi="Arial Black" w:cs="Calibri"/>
          <w:b/>
          <w:bCs/>
          <w:color w:val="632423"/>
        </w:rPr>
        <w:t>que</w:t>
      </w:r>
      <w:r w:rsidR="00A13BBE">
        <w:rPr>
          <w:rFonts w:ascii="Arial Black" w:hAnsi="Arial Black" w:cs="Calibri"/>
          <w:b/>
          <w:bCs/>
          <w:color w:val="632423"/>
        </w:rPr>
        <w:t xml:space="preserve"> les techniques de management et </w:t>
      </w:r>
      <w:r w:rsidR="00065716">
        <w:rPr>
          <w:rFonts w:ascii="Arial Black" w:hAnsi="Arial Black" w:cs="Calibri"/>
          <w:b/>
          <w:bCs/>
          <w:color w:val="632423"/>
        </w:rPr>
        <w:t xml:space="preserve">le </w:t>
      </w:r>
      <w:r w:rsidR="00A13BBE">
        <w:rPr>
          <w:rFonts w:ascii="Arial Black" w:hAnsi="Arial Black" w:cs="Calibri"/>
          <w:b/>
          <w:bCs/>
          <w:color w:val="632423"/>
        </w:rPr>
        <w:t>travail en équipe</w:t>
      </w:r>
    </w:p>
    <w:p w:rsidR="00FC02A9" w:rsidRPr="00B56E74" w:rsidRDefault="00FC02A9" w:rsidP="00FC02A9">
      <w:pPr>
        <w:jc w:val="center"/>
        <w:rPr>
          <w:rFonts w:asciiTheme="minorHAnsi" w:hAnsiTheme="minorHAnsi" w:cstheme="minorHAnsi"/>
          <w:b/>
          <w:bCs/>
          <w:color w:val="4F6228"/>
          <w:sz w:val="16"/>
          <w:szCs w:val="16"/>
        </w:rPr>
      </w:pPr>
    </w:p>
    <w:p w:rsidR="00FC02A9" w:rsidRPr="00B56E74" w:rsidRDefault="00FC02A9" w:rsidP="00FC02A9">
      <w:pPr>
        <w:jc w:val="center"/>
        <w:rPr>
          <w:rFonts w:asciiTheme="minorHAnsi" w:hAnsiTheme="minorHAnsi" w:cstheme="minorHAnsi"/>
          <w:b/>
          <w:bCs/>
        </w:rPr>
      </w:pPr>
      <w:r w:rsidRPr="00B56E74">
        <w:rPr>
          <w:rFonts w:asciiTheme="minorHAnsi" w:hAnsiTheme="minorHAnsi" w:cstheme="minorHAnsi"/>
          <w:b/>
          <w:bCs/>
        </w:rPr>
        <w:t>Besoins en formation des cadres et techniciens/agents de maîtrise</w:t>
      </w:r>
      <w:r w:rsidR="005B4FC4">
        <w:rPr>
          <w:rFonts w:asciiTheme="minorHAnsi" w:hAnsiTheme="minorHAnsi" w:cstheme="minorHAnsi"/>
          <w:b/>
          <w:bCs/>
        </w:rPr>
        <w:t xml:space="preserve"> </w:t>
      </w:r>
      <w:r w:rsidRPr="00B56E74">
        <w:rPr>
          <w:rFonts w:asciiTheme="minorHAnsi" w:hAnsiTheme="minorHAnsi" w:cstheme="minorHAnsi"/>
          <w:b/>
          <w:bCs/>
        </w:rPr>
        <w:t>(en pourcentage d’établissements ayant cité l’item)</w:t>
      </w:r>
    </w:p>
    <w:p w:rsidR="00FC02A9" w:rsidRPr="00B56E74" w:rsidRDefault="00FC02A9" w:rsidP="00FC02A9">
      <w:pPr>
        <w:rPr>
          <w:rFonts w:asciiTheme="minorHAnsi" w:hAnsiTheme="minorHAnsi" w:cstheme="minorHAnsi"/>
          <w:sz w:val="16"/>
          <w:szCs w:val="16"/>
        </w:rPr>
      </w:pPr>
    </w:p>
    <w:tbl>
      <w:tblPr>
        <w:tblStyle w:val="Listemoyenne1-Accent3"/>
        <w:tblW w:w="5000" w:type="pct"/>
        <w:tblLook w:val="04A0" w:firstRow="1" w:lastRow="0" w:firstColumn="1" w:lastColumn="0" w:noHBand="0" w:noVBand="1"/>
      </w:tblPr>
      <w:tblGrid>
        <w:gridCol w:w="9201"/>
        <w:gridCol w:w="1009"/>
        <w:gridCol w:w="1009"/>
        <w:gridCol w:w="814"/>
        <w:gridCol w:w="1013"/>
        <w:gridCol w:w="1013"/>
        <w:gridCol w:w="1010"/>
      </w:tblGrid>
      <w:tr w:rsidR="00D223D3" w:rsidRPr="00B56E74" w:rsidTr="00B427D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tcBorders>
              <w:top w:val="single" w:sz="8" w:space="0" w:color="9BBB59" w:themeColor="accent3"/>
              <w:bottom w:val="nil"/>
            </w:tcBorders>
            <w:noWrap/>
          </w:tcPr>
          <w:p w:rsidR="00FC02A9" w:rsidRPr="00B56E74" w:rsidRDefault="00FC02A9" w:rsidP="00381CD6">
            <w:pPr>
              <w:ind w:left="64"/>
              <w:rPr>
                <w:rFonts w:asciiTheme="minorHAnsi" w:hAnsiTheme="minorHAnsi" w:cstheme="minorHAnsi"/>
                <w:b w:val="0"/>
                <w:bCs w:val="0"/>
                <w:sz w:val="20"/>
                <w:szCs w:val="20"/>
              </w:rPr>
            </w:pPr>
          </w:p>
        </w:tc>
        <w:tc>
          <w:tcPr>
            <w:tcW w:w="940" w:type="pct"/>
            <w:gridSpan w:val="3"/>
            <w:tcBorders>
              <w:top w:val="single" w:sz="8" w:space="0" w:color="9BBB59" w:themeColor="accent3"/>
              <w:bottom w:val="nil"/>
              <w:right w:val="single" w:sz="8" w:space="0" w:color="9BBB59" w:themeColor="accent3"/>
            </w:tcBorders>
          </w:tcPr>
          <w:p w:rsidR="00FC02A9" w:rsidRPr="00B56E74" w:rsidRDefault="00FC02A9" w:rsidP="00381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74">
              <w:rPr>
                <w:rFonts w:asciiTheme="minorHAnsi" w:hAnsiTheme="minorHAnsi" w:cstheme="minorHAnsi"/>
                <w:sz w:val="20"/>
                <w:szCs w:val="20"/>
              </w:rPr>
              <w:t>Cadres</w:t>
            </w:r>
          </w:p>
        </w:tc>
        <w:tc>
          <w:tcPr>
            <w:tcW w:w="1007" w:type="pct"/>
            <w:gridSpan w:val="3"/>
            <w:tcBorders>
              <w:top w:val="single" w:sz="8" w:space="0" w:color="9BBB59" w:themeColor="accent3"/>
              <w:left w:val="single" w:sz="8" w:space="0" w:color="9BBB59" w:themeColor="accent3"/>
              <w:bottom w:val="nil"/>
            </w:tcBorders>
          </w:tcPr>
          <w:p w:rsidR="00FC02A9" w:rsidRPr="00B56E74" w:rsidRDefault="00FC02A9" w:rsidP="00381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74">
              <w:rPr>
                <w:rFonts w:asciiTheme="minorHAnsi" w:hAnsiTheme="minorHAnsi" w:cstheme="minorHAnsi"/>
                <w:sz w:val="20"/>
                <w:szCs w:val="20"/>
              </w:rPr>
              <w:t>Techniciens/ Agents maîtrise</w:t>
            </w:r>
          </w:p>
        </w:tc>
      </w:tr>
      <w:tr w:rsidR="00B427DF" w:rsidRPr="00B56E74" w:rsidTr="00B427D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tcBorders>
              <w:top w:val="nil"/>
              <w:bottom w:val="single" w:sz="8" w:space="0" w:color="9BBB59" w:themeColor="accent3"/>
            </w:tcBorders>
            <w:noWrap/>
          </w:tcPr>
          <w:p w:rsidR="00B427DF" w:rsidRPr="00B56E74" w:rsidRDefault="00B427DF" w:rsidP="00381CD6">
            <w:pPr>
              <w:ind w:left="64"/>
              <w:rPr>
                <w:rFonts w:asciiTheme="minorHAnsi" w:hAnsiTheme="minorHAnsi" w:cstheme="minorHAnsi"/>
                <w:b w:val="0"/>
                <w:bCs w:val="0"/>
                <w:sz w:val="20"/>
                <w:szCs w:val="20"/>
              </w:rPr>
            </w:pPr>
          </w:p>
        </w:tc>
        <w:tc>
          <w:tcPr>
            <w:tcW w:w="335" w:type="pct"/>
            <w:tcBorders>
              <w:top w:val="nil"/>
              <w:bottom w:val="single" w:sz="8" w:space="0" w:color="9BBB59" w:themeColor="accent3"/>
            </w:tcBorders>
          </w:tcPr>
          <w:p w:rsidR="00B427DF" w:rsidRPr="00B56E74" w:rsidRDefault="00B427DF"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2013</w:t>
            </w:r>
          </w:p>
        </w:tc>
        <w:tc>
          <w:tcPr>
            <w:tcW w:w="335" w:type="pct"/>
            <w:tcBorders>
              <w:top w:val="nil"/>
              <w:bottom w:val="single" w:sz="8" w:space="0" w:color="9BBB59" w:themeColor="accent3"/>
            </w:tcBorders>
          </w:tcPr>
          <w:p w:rsidR="00B427DF" w:rsidRPr="00B56E74" w:rsidRDefault="00B427DF"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2014</w:t>
            </w:r>
          </w:p>
        </w:tc>
        <w:tc>
          <w:tcPr>
            <w:tcW w:w="270" w:type="pct"/>
            <w:tcBorders>
              <w:top w:val="nil"/>
              <w:bottom w:val="single" w:sz="8" w:space="0" w:color="9BBB59" w:themeColor="accent3"/>
              <w:right w:val="single" w:sz="8" w:space="0" w:color="9BBB59" w:themeColor="accent3"/>
            </w:tcBorders>
          </w:tcPr>
          <w:p w:rsidR="00B427DF" w:rsidRPr="00B56E74" w:rsidRDefault="00B427DF" w:rsidP="00381C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c>
          <w:tcPr>
            <w:tcW w:w="336" w:type="pct"/>
            <w:tcBorders>
              <w:top w:val="nil"/>
              <w:left w:val="single" w:sz="8" w:space="0" w:color="9BBB59" w:themeColor="accent3"/>
              <w:bottom w:val="single" w:sz="8" w:space="0" w:color="9BBB59" w:themeColor="accent3"/>
            </w:tcBorders>
          </w:tcPr>
          <w:p w:rsidR="00B427DF" w:rsidRPr="00B56E74" w:rsidRDefault="00B427DF"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2013</w:t>
            </w:r>
          </w:p>
        </w:tc>
        <w:tc>
          <w:tcPr>
            <w:tcW w:w="336" w:type="pct"/>
            <w:tcBorders>
              <w:top w:val="nil"/>
              <w:bottom w:val="single" w:sz="8" w:space="0" w:color="9BBB59" w:themeColor="accent3"/>
            </w:tcBorders>
          </w:tcPr>
          <w:p w:rsidR="00B427DF" w:rsidRPr="00B56E74" w:rsidRDefault="00B427DF"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2014</w:t>
            </w:r>
          </w:p>
        </w:tc>
        <w:tc>
          <w:tcPr>
            <w:tcW w:w="335" w:type="pct"/>
            <w:tcBorders>
              <w:top w:val="nil"/>
              <w:bottom w:val="single" w:sz="8" w:space="0" w:color="9BBB59" w:themeColor="accent3"/>
            </w:tcBorders>
          </w:tcPr>
          <w:p w:rsidR="00B427DF" w:rsidRPr="00B56E74" w:rsidRDefault="00B427DF" w:rsidP="00381C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2015</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tcBorders>
              <w:top w:val="single" w:sz="8" w:space="0" w:color="9BBB59" w:themeColor="accent3"/>
            </w:tcBorders>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Stratégie logistique (sous-traitance/partenariat logistique/clients certifiés ISO)</w:t>
            </w:r>
          </w:p>
        </w:tc>
        <w:tc>
          <w:tcPr>
            <w:tcW w:w="335" w:type="pct"/>
            <w:tcBorders>
              <w:top w:val="single" w:sz="8" w:space="0" w:color="9BBB59" w:themeColor="accent3"/>
            </w:tcBorders>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21%</w:t>
            </w:r>
          </w:p>
        </w:tc>
        <w:tc>
          <w:tcPr>
            <w:tcW w:w="335" w:type="pct"/>
            <w:tcBorders>
              <w:top w:val="single" w:sz="8" w:space="0" w:color="9BBB59" w:themeColor="accent3"/>
            </w:tcBorders>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38%</w:t>
            </w:r>
          </w:p>
        </w:tc>
        <w:tc>
          <w:tcPr>
            <w:tcW w:w="270" w:type="pct"/>
            <w:tcBorders>
              <w:top w:val="single" w:sz="8" w:space="0" w:color="9BBB59" w:themeColor="accent3"/>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27%</w:t>
            </w:r>
          </w:p>
        </w:tc>
        <w:tc>
          <w:tcPr>
            <w:tcW w:w="336" w:type="pct"/>
            <w:tcBorders>
              <w:top w:val="single" w:sz="8" w:space="0" w:color="9BBB59" w:themeColor="accent3"/>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19%</w:t>
            </w:r>
          </w:p>
        </w:tc>
        <w:tc>
          <w:tcPr>
            <w:tcW w:w="336" w:type="pct"/>
            <w:tcBorders>
              <w:top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21%</w:t>
            </w:r>
          </w:p>
        </w:tc>
        <w:tc>
          <w:tcPr>
            <w:tcW w:w="335" w:type="pct"/>
            <w:tcBorders>
              <w:top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23%</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 xml:space="preserve">Supply chain </w:t>
            </w:r>
            <w:r w:rsidRPr="00B577E0">
              <w:rPr>
                <w:rFonts w:asciiTheme="minorHAnsi" w:hAnsiTheme="minorHAnsi" w:cstheme="minorHAnsi"/>
                <w:b w:val="0"/>
                <w:bCs w:val="0"/>
                <w:sz w:val="20"/>
                <w:szCs w:val="20"/>
              </w:rPr>
              <w:t>management (SCE, SCP, SCEM)</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18%</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36%</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28%</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13%</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24%</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23%</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Achats/ Approvisionnements</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15%</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25%</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17%</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16%</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22%</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20%</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Gestion d'entrepôt</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17%</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29%</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23%</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21%</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36%</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34%</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Logistique industrielle et flux tendus (Ordonnancement/lancement/GPAO)</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13%</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22%</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17%</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13%</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21%</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22%</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Langues étrangères</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25%</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34%</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30%</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26%</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32%</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34%</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B427DF">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Logistique internationale</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12%</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19%</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13%</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10%</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12%</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12%</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Réglementation/législation</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28%</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44%</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36%</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27%</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38%</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39%</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Matières dangereuses</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13%</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24%</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13%</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13%</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30%</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18%</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Sécurité/Prévention des risques</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23%</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41%</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37%</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27%</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46%</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44%</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Prévention de la malveillance et des vols/Sûreté</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10%</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20%</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15%</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11%</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20%</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20%</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Système d’information logistique (ERP, TMS, WMS, EDI, RFID…)</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22%</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32%</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28%</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25%</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31%</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32%</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Gestion des déchets, environnement - développement durable (économie d'énergie, bilan carbone)</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18%</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32%</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19%</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17%</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31%</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22%</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Politique qualité/normes ISO</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9%</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28%</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18%</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7%</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23%</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21%</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Gestion de projet/cahier des charges logistiques/Projet d’investissements/tableaux de bord (suivi des coûts…)</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15%</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28%</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23%</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12%</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15%</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17%</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D223D3">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Soutien logistique et service après-vente</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5%</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12%</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11%</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5%</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14%</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15%</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Techniques de management, travail en équipe</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37%</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51%</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38%</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41%</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49%</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44%</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Techniques de communication</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28%</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40%</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30%</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31%</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38%</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33%</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Sensibilisation à la relation client/fournisseur</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10%</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29%</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21%</w:t>
            </w: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12%</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31%</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26%</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Gestion du stress</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17%</w:t>
            </w:r>
          </w:p>
        </w:tc>
        <w:tc>
          <w:tcPr>
            <w:tcW w:w="335" w:type="pct"/>
          </w:tcPr>
          <w:p w:rsidR="00B577E0" w:rsidRPr="00B56E7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31%</w:t>
            </w:r>
          </w:p>
        </w:tc>
        <w:tc>
          <w:tcPr>
            <w:tcW w:w="270" w:type="pct"/>
            <w:tcBorders>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29%</w:t>
            </w:r>
          </w:p>
        </w:tc>
        <w:tc>
          <w:tcPr>
            <w:tcW w:w="336" w:type="pct"/>
            <w:tcBorders>
              <w:left w:val="single" w:sz="8" w:space="0" w:color="9BBB59" w:themeColor="accent3"/>
            </w:tcBorders>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18%</w:t>
            </w:r>
          </w:p>
        </w:tc>
        <w:tc>
          <w:tcPr>
            <w:tcW w:w="336" w:type="pct"/>
          </w:tcPr>
          <w:p w:rsidR="00B577E0" w:rsidRPr="00B56E7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29%</w:t>
            </w:r>
          </w:p>
        </w:tc>
        <w:tc>
          <w:tcPr>
            <w:tcW w:w="335" w:type="pct"/>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32%</w:t>
            </w:r>
          </w:p>
        </w:tc>
      </w:tr>
      <w:tr w:rsidR="00B577E0" w:rsidRPr="00B56E74" w:rsidTr="00065716">
        <w:trPr>
          <w:trHeight w:val="225"/>
        </w:trPr>
        <w:tc>
          <w:tcPr>
            <w:cnfStyle w:val="001000000000" w:firstRow="0" w:lastRow="0" w:firstColumn="1" w:lastColumn="0" w:oddVBand="0" w:evenVBand="0" w:oddHBand="0" w:evenHBand="0" w:firstRowFirstColumn="0" w:firstRowLastColumn="0" w:lastRowFirstColumn="0" w:lastRowLastColumn="0"/>
            <w:tcW w:w="3053" w:type="pct"/>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Risque électrique</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w:t>
            </w:r>
          </w:p>
        </w:tc>
        <w:tc>
          <w:tcPr>
            <w:tcW w:w="335" w:type="pct"/>
          </w:tcPr>
          <w:p w:rsidR="00B577E0" w:rsidRPr="00B56E74" w:rsidRDefault="00B577E0" w:rsidP="000657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w:t>
            </w:r>
          </w:p>
        </w:tc>
        <w:tc>
          <w:tcPr>
            <w:tcW w:w="270" w:type="pct"/>
            <w:tcBorders>
              <w:right w:val="single" w:sz="8" w:space="0" w:color="9BBB59" w:themeColor="accent3"/>
            </w:tcBorders>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tc>
        <w:tc>
          <w:tcPr>
            <w:tcW w:w="336" w:type="pct"/>
            <w:tcBorders>
              <w:left w:val="single" w:sz="8" w:space="0" w:color="9BBB59" w:themeColor="accent3"/>
            </w:tcBorders>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5%</w:t>
            </w:r>
          </w:p>
        </w:tc>
        <w:tc>
          <w:tcPr>
            <w:tcW w:w="336" w:type="pct"/>
          </w:tcPr>
          <w:p w:rsidR="00B577E0" w:rsidRPr="00B56E74"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6E74">
              <w:rPr>
                <w:rFonts w:asciiTheme="minorHAnsi" w:hAnsiTheme="minorHAnsi" w:cstheme="minorHAnsi"/>
                <w:bCs/>
                <w:sz w:val="20"/>
                <w:szCs w:val="20"/>
              </w:rPr>
              <w:t>16%</w:t>
            </w:r>
          </w:p>
        </w:tc>
        <w:tc>
          <w:tcPr>
            <w:tcW w:w="335" w:type="pct"/>
            <w:vAlign w:val="bottom"/>
          </w:tcPr>
          <w:p w:rsidR="00B577E0" w:rsidRPr="00B577E0" w:rsidRDefault="00B577E0" w:rsidP="00B577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17%</w:t>
            </w:r>
          </w:p>
        </w:tc>
      </w:tr>
      <w:tr w:rsidR="00B577E0" w:rsidRPr="00B56E74" w:rsidTr="000657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3" w:type="pct"/>
            <w:tcBorders>
              <w:bottom w:val="single" w:sz="8" w:space="0" w:color="9BBB59" w:themeColor="accent3"/>
            </w:tcBorders>
            <w:noWrap/>
          </w:tcPr>
          <w:p w:rsidR="00B577E0" w:rsidRPr="00B56E74" w:rsidRDefault="00B577E0" w:rsidP="00381CD6">
            <w:pPr>
              <w:ind w:left="64"/>
              <w:rPr>
                <w:rFonts w:asciiTheme="minorHAnsi" w:hAnsiTheme="minorHAnsi" w:cstheme="minorHAnsi"/>
                <w:b w:val="0"/>
                <w:bCs w:val="0"/>
                <w:sz w:val="20"/>
                <w:szCs w:val="20"/>
              </w:rPr>
            </w:pPr>
            <w:r w:rsidRPr="00B56E74">
              <w:rPr>
                <w:rFonts w:asciiTheme="minorHAnsi" w:hAnsiTheme="minorHAnsi" w:cstheme="minorHAnsi"/>
                <w:b w:val="0"/>
                <w:bCs w:val="0"/>
                <w:sz w:val="20"/>
                <w:szCs w:val="20"/>
              </w:rPr>
              <w:t>Autres</w:t>
            </w:r>
          </w:p>
        </w:tc>
        <w:tc>
          <w:tcPr>
            <w:tcW w:w="335" w:type="pct"/>
            <w:tcBorders>
              <w:bottom w:val="single" w:sz="8" w:space="0" w:color="9BBB59" w:themeColor="accent3"/>
            </w:tcBorders>
          </w:tcPr>
          <w:p w:rsidR="00B577E0" w:rsidRPr="005B4FC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5B4FC4">
              <w:rPr>
                <w:rFonts w:asciiTheme="minorHAnsi" w:hAnsiTheme="minorHAnsi" w:cstheme="minorHAnsi"/>
                <w:bCs/>
                <w:sz w:val="20"/>
                <w:szCs w:val="20"/>
              </w:rPr>
              <w:t>1%</w:t>
            </w:r>
          </w:p>
        </w:tc>
        <w:tc>
          <w:tcPr>
            <w:tcW w:w="335" w:type="pct"/>
            <w:tcBorders>
              <w:bottom w:val="single" w:sz="8" w:space="0" w:color="9BBB59" w:themeColor="accent3"/>
            </w:tcBorders>
          </w:tcPr>
          <w:p w:rsidR="00B577E0" w:rsidRPr="005B4FC4" w:rsidRDefault="00B577E0" w:rsidP="000657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5B4FC4">
              <w:rPr>
                <w:rFonts w:asciiTheme="minorHAnsi" w:hAnsiTheme="minorHAnsi" w:cstheme="minorHAnsi"/>
                <w:bCs/>
                <w:sz w:val="20"/>
                <w:szCs w:val="20"/>
              </w:rPr>
              <w:t>5%</w:t>
            </w:r>
          </w:p>
        </w:tc>
        <w:tc>
          <w:tcPr>
            <w:tcW w:w="270" w:type="pct"/>
            <w:tcBorders>
              <w:bottom w:val="single" w:sz="8" w:space="0" w:color="9BBB59" w:themeColor="accent3"/>
              <w:right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4%</w:t>
            </w:r>
          </w:p>
        </w:tc>
        <w:tc>
          <w:tcPr>
            <w:tcW w:w="336" w:type="pct"/>
            <w:tcBorders>
              <w:left w:val="single" w:sz="8" w:space="0" w:color="9BBB59" w:themeColor="accent3"/>
              <w:bottom w:val="single" w:sz="8" w:space="0" w:color="9BBB59" w:themeColor="accent3"/>
            </w:tcBorders>
          </w:tcPr>
          <w:p w:rsidR="00B577E0" w:rsidRPr="005B4FC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5B4FC4">
              <w:rPr>
                <w:rFonts w:asciiTheme="minorHAnsi" w:hAnsiTheme="minorHAnsi" w:cstheme="minorHAnsi"/>
                <w:bCs/>
                <w:sz w:val="20"/>
                <w:szCs w:val="20"/>
              </w:rPr>
              <w:t>1%</w:t>
            </w:r>
          </w:p>
        </w:tc>
        <w:tc>
          <w:tcPr>
            <w:tcW w:w="336" w:type="pct"/>
            <w:tcBorders>
              <w:bottom w:val="single" w:sz="8" w:space="0" w:color="9BBB59" w:themeColor="accent3"/>
            </w:tcBorders>
          </w:tcPr>
          <w:p w:rsidR="00B577E0" w:rsidRPr="005B4FC4"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5B4FC4">
              <w:rPr>
                <w:rFonts w:asciiTheme="minorHAnsi" w:hAnsiTheme="minorHAnsi" w:cstheme="minorHAnsi"/>
                <w:bCs/>
                <w:sz w:val="20"/>
                <w:szCs w:val="20"/>
              </w:rPr>
              <w:t>3%</w:t>
            </w:r>
          </w:p>
        </w:tc>
        <w:tc>
          <w:tcPr>
            <w:tcW w:w="335" w:type="pct"/>
            <w:tcBorders>
              <w:bottom w:val="single" w:sz="8" w:space="0" w:color="9BBB59" w:themeColor="accent3"/>
            </w:tcBorders>
            <w:vAlign w:val="bottom"/>
          </w:tcPr>
          <w:p w:rsidR="00B577E0" w:rsidRPr="00B577E0" w:rsidRDefault="00B577E0" w:rsidP="00B577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B577E0">
              <w:rPr>
                <w:rFonts w:asciiTheme="minorHAnsi" w:hAnsiTheme="minorHAnsi" w:cstheme="minorHAnsi"/>
                <w:bCs/>
                <w:sz w:val="20"/>
                <w:szCs w:val="20"/>
              </w:rPr>
              <w:t>5%</w:t>
            </w:r>
          </w:p>
        </w:tc>
      </w:tr>
    </w:tbl>
    <w:p w:rsidR="00FC02A9" w:rsidRPr="00B56E74" w:rsidRDefault="00FC02A9" w:rsidP="00FC02A9">
      <w:pPr>
        <w:rPr>
          <w:rFonts w:asciiTheme="minorHAnsi" w:hAnsiTheme="minorHAnsi" w:cstheme="minorHAnsi"/>
          <w:sz w:val="16"/>
          <w:szCs w:val="16"/>
        </w:rPr>
      </w:pPr>
    </w:p>
    <w:p w:rsidR="00A13BBE" w:rsidRDefault="00A13BBE" w:rsidP="00FC02A9">
      <w:pPr>
        <w:jc w:val="both"/>
        <w:rPr>
          <w:rFonts w:asciiTheme="minorHAnsi" w:hAnsiTheme="minorHAnsi" w:cstheme="minorHAnsi"/>
        </w:rPr>
      </w:pPr>
    </w:p>
    <w:p w:rsidR="00065716" w:rsidRDefault="00065716" w:rsidP="00FC02A9">
      <w:pPr>
        <w:jc w:val="both"/>
        <w:rPr>
          <w:rFonts w:asciiTheme="minorHAnsi" w:hAnsiTheme="minorHAnsi" w:cstheme="minorHAnsi"/>
        </w:rPr>
      </w:pPr>
      <w:r>
        <w:rPr>
          <w:rFonts w:asciiTheme="minorHAnsi" w:hAnsiTheme="minorHAnsi" w:cstheme="minorHAnsi"/>
        </w:rPr>
        <w:t xml:space="preserve">38% des sondés estiment que les cadres </w:t>
      </w:r>
      <w:r w:rsidR="008844F4">
        <w:rPr>
          <w:rFonts w:asciiTheme="minorHAnsi" w:hAnsiTheme="minorHAnsi" w:cstheme="minorHAnsi"/>
        </w:rPr>
        <w:t xml:space="preserve">de la logistique </w:t>
      </w:r>
      <w:r>
        <w:rPr>
          <w:rFonts w:asciiTheme="minorHAnsi" w:hAnsiTheme="minorHAnsi" w:cstheme="minorHAnsi"/>
        </w:rPr>
        <w:t>auraient besoin de formation</w:t>
      </w:r>
      <w:r w:rsidR="00C83036">
        <w:rPr>
          <w:rFonts w:asciiTheme="minorHAnsi" w:hAnsiTheme="minorHAnsi" w:cstheme="minorHAnsi"/>
        </w:rPr>
        <w:t>s</w:t>
      </w:r>
      <w:r>
        <w:rPr>
          <w:rFonts w:asciiTheme="minorHAnsi" w:hAnsiTheme="minorHAnsi" w:cstheme="minorHAnsi"/>
        </w:rPr>
        <w:t xml:space="preserve"> en techniques de management et travail de d’équipe, et 44% relèvent le même besoin pour les techniciens et agents de maîtrise</w:t>
      </w:r>
      <w:r w:rsidR="008844F4">
        <w:rPr>
          <w:rFonts w:asciiTheme="minorHAnsi" w:hAnsiTheme="minorHAnsi" w:cstheme="minorHAnsi"/>
        </w:rPr>
        <w:t xml:space="preserve"> de la logistique</w:t>
      </w:r>
      <w:r>
        <w:rPr>
          <w:rFonts w:asciiTheme="minorHAnsi" w:hAnsiTheme="minorHAnsi" w:cstheme="minorHAnsi"/>
        </w:rPr>
        <w:t xml:space="preserve">. </w:t>
      </w:r>
    </w:p>
    <w:p w:rsidR="00065716" w:rsidRDefault="00065716" w:rsidP="00FC02A9">
      <w:pPr>
        <w:jc w:val="both"/>
        <w:rPr>
          <w:rFonts w:asciiTheme="minorHAnsi" w:hAnsiTheme="minorHAnsi" w:cstheme="minorHAnsi"/>
        </w:rPr>
      </w:pPr>
    </w:p>
    <w:p w:rsidR="00A13BBE" w:rsidRDefault="00065716" w:rsidP="00FC02A9">
      <w:pPr>
        <w:jc w:val="both"/>
        <w:rPr>
          <w:rFonts w:asciiTheme="minorHAnsi" w:hAnsiTheme="minorHAnsi" w:cstheme="minorHAnsi"/>
        </w:rPr>
      </w:pPr>
      <w:r>
        <w:rPr>
          <w:rFonts w:asciiTheme="minorHAnsi" w:hAnsiTheme="minorHAnsi" w:cstheme="minorHAnsi"/>
        </w:rPr>
        <w:t>Ils</w:t>
      </w:r>
      <w:r w:rsidR="008844F4">
        <w:rPr>
          <w:rFonts w:asciiTheme="minorHAnsi" w:hAnsiTheme="minorHAnsi" w:cstheme="minorHAnsi"/>
        </w:rPr>
        <w:t xml:space="preserve"> sont dans les mêmes proportions à juger utiles des formations à la sécurité et la prévention des risques pour ces catégories d’emploi. </w:t>
      </w:r>
      <w:r w:rsidR="00A13BBE">
        <w:rPr>
          <w:rFonts w:asciiTheme="minorHAnsi" w:hAnsiTheme="minorHAnsi" w:cstheme="minorHAnsi"/>
        </w:rPr>
        <w:t xml:space="preserve"> </w:t>
      </w:r>
    </w:p>
    <w:p w:rsidR="00A13BBE" w:rsidRDefault="00A13BBE" w:rsidP="00FC02A9">
      <w:pPr>
        <w:jc w:val="both"/>
        <w:rPr>
          <w:rFonts w:asciiTheme="minorHAnsi" w:hAnsiTheme="minorHAnsi" w:cstheme="minorHAnsi"/>
        </w:rPr>
      </w:pPr>
    </w:p>
    <w:p w:rsidR="00FC02A9" w:rsidRPr="00B56E74" w:rsidRDefault="008844F4" w:rsidP="00FC02A9">
      <w:pPr>
        <w:jc w:val="both"/>
        <w:rPr>
          <w:rFonts w:asciiTheme="minorHAnsi" w:hAnsiTheme="minorHAnsi" w:cstheme="minorHAnsi"/>
        </w:rPr>
      </w:pPr>
      <w:r>
        <w:rPr>
          <w:rFonts w:asciiTheme="minorHAnsi" w:hAnsiTheme="minorHAnsi" w:cstheme="minorHAnsi"/>
        </w:rPr>
        <w:t>Le 3</w:t>
      </w:r>
      <w:r w:rsidRPr="008844F4">
        <w:rPr>
          <w:rFonts w:asciiTheme="minorHAnsi" w:hAnsiTheme="minorHAnsi" w:cstheme="minorHAnsi"/>
          <w:vertAlign w:val="superscript"/>
        </w:rPr>
        <w:t>ème</w:t>
      </w:r>
      <w:r>
        <w:rPr>
          <w:rFonts w:asciiTheme="minorHAnsi" w:hAnsiTheme="minorHAnsi" w:cstheme="minorHAnsi"/>
        </w:rPr>
        <w:t xml:space="preserve"> thème de formation le plus cité a trait à la réglementation et la législation (cité par 39% des répondants pour les techniciens/agents de maîtrise). </w:t>
      </w:r>
    </w:p>
    <w:p w:rsidR="00A13BBE" w:rsidRDefault="00A13BBE">
      <w:pPr>
        <w:rPr>
          <w:rFonts w:ascii="Arial Black" w:hAnsi="Arial Black" w:cs="Calibri"/>
          <w:b/>
          <w:bCs/>
          <w:color w:val="632423"/>
        </w:rPr>
      </w:pPr>
      <w:r>
        <w:rPr>
          <w:rFonts w:ascii="Arial Black" w:hAnsi="Arial Black" w:cs="Calibri"/>
          <w:b/>
          <w:bCs/>
          <w:color w:val="632423"/>
        </w:rPr>
        <w:br w:type="page"/>
      </w:r>
    </w:p>
    <w:p w:rsidR="00CC14D5" w:rsidRDefault="00CC14D5" w:rsidP="00FC02A9">
      <w:pPr>
        <w:rPr>
          <w:rFonts w:ascii="Arial Black" w:hAnsi="Arial Black" w:cs="Calibri"/>
          <w:b/>
          <w:bCs/>
          <w:color w:val="632423"/>
        </w:rPr>
      </w:pPr>
      <w:r>
        <w:rPr>
          <w:rFonts w:ascii="Arial Black" w:hAnsi="Arial Black" w:cs="Calibri"/>
          <w:b/>
          <w:bCs/>
          <w:color w:val="632423"/>
        </w:rPr>
        <w:t>Fort intérêt à l’égard des formations PRAP pour les opérateurs logistiques</w:t>
      </w:r>
    </w:p>
    <w:p w:rsidR="00FC02A9" w:rsidRPr="00CC14D5" w:rsidRDefault="00FC02A9" w:rsidP="00CC14D5">
      <w:pPr>
        <w:jc w:val="center"/>
        <w:rPr>
          <w:rFonts w:asciiTheme="minorHAnsi" w:hAnsiTheme="minorHAnsi" w:cstheme="minorHAnsi"/>
          <w:b/>
          <w:bCs/>
          <w:color w:val="4F6228"/>
          <w:sz w:val="16"/>
          <w:szCs w:val="16"/>
        </w:rPr>
      </w:pPr>
    </w:p>
    <w:p w:rsidR="00FC02A9" w:rsidRPr="00B56E74" w:rsidRDefault="00FC02A9" w:rsidP="00FC02A9">
      <w:pPr>
        <w:jc w:val="center"/>
        <w:rPr>
          <w:rFonts w:asciiTheme="minorHAnsi" w:hAnsiTheme="minorHAnsi" w:cstheme="minorHAnsi"/>
          <w:b/>
          <w:bCs/>
        </w:rPr>
      </w:pPr>
      <w:r w:rsidRPr="00B56E74">
        <w:rPr>
          <w:rFonts w:asciiTheme="minorHAnsi" w:hAnsiTheme="minorHAnsi" w:cstheme="minorHAnsi"/>
          <w:b/>
          <w:bCs/>
        </w:rPr>
        <w:t>Besoins en formation des opérateurs</w:t>
      </w:r>
      <w:r w:rsidR="005B4FC4">
        <w:rPr>
          <w:rFonts w:asciiTheme="minorHAnsi" w:hAnsiTheme="minorHAnsi" w:cstheme="minorHAnsi"/>
          <w:b/>
          <w:bCs/>
        </w:rPr>
        <w:t xml:space="preserve"> </w:t>
      </w:r>
      <w:r w:rsidRPr="00B56E74">
        <w:rPr>
          <w:rFonts w:asciiTheme="minorHAnsi" w:hAnsiTheme="minorHAnsi" w:cstheme="minorHAnsi"/>
          <w:b/>
          <w:bCs/>
        </w:rPr>
        <w:t>(en pourcentage d’établissements ayant cité l’item)</w:t>
      </w:r>
    </w:p>
    <w:p w:rsidR="00FC02A9" w:rsidRPr="00B56E74" w:rsidRDefault="00FC02A9" w:rsidP="00FC02A9">
      <w:pPr>
        <w:rPr>
          <w:rFonts w:asciiTheme="minorHAnsi" w:hAnsiTheme="minorHAnsi" w:cstheme="minorHAnsi"/>
          <w:sz w:val="16"/>
          <w:szCs w:val="16"/>
        </w:rPr>
      </w:pPr>
    </w:p>
    <w:tbl>
      <w:tblPr>
        <w:tblStyle w:val="Listemoyenne1-Accent2"/>
        <w:tblW w:w="4197" w:type="pct"/>
        <w:jc w:val="center"/>
        <w:tblLook w:val="04A0" w:firstRow="1" w:lastRow="0" w:firstColumn="1" w:lastColumn="0" w:noHBand="0" w:noVBand="1"/>
      </w:tblPr>
      <w:tblGrid>
        <w:gridCol w:w="8476"/>
        <w:gridCol w:w="1391"/>
        <w:gridCol w:w="1391"/>
        <w:gridCol w:w="1391"/>
      </w:tblGrid>
      <w:tr w:rsidR="00EE700D" w:rsidRPr="005B4FC4" w:rsidTr="00EE700D">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tcBorders>
              <w:top w:val="single" w:sz="8" w:space="0" w:color="C0504D" w:themeColor="accent2"/>
            </w:tcBorders>
            <w:noWrap/>
          </w:tcPr>
          <w:p w:rsidR="00EE700D" w:rsidRPr="005B4FC4" w:rsidRDefault="00EE700D" w:rsidP="00381CD6">
            <w:pPr>
              <w:ind w:left="64"/>
              <w:rPr>
                <w:rFonts w:asciiTheme="minorHAnsi" w:hAnsiTheme="minorHAnsi" w:cstheme="minorHAnsi"/>
                <w:b w:val="0"/>
                <w:bCs w:val="0"/>
                <w:color w:val="auto"/>
                <w:sz w:val="20"/>
                <w:szCs w:val="20"/>
              </w:rPr>
            </w:pPr>
          </w:p>
        </w:tc>
        <w:tc>
          <w:tcPr>
            <w:tcW w:w="550" w:type="pct"/>
            <w:tcBorders>
              <w:top w:val="single" w:sz="8" w:space="0" w:color="C0504D" w:themeColor="accent2"/>
            </w:tcBorders>
          </w:tcPr>
          <w:p w:rsidR="00EE700D" w:rsidRPr="005B4FC4" w:rsidRDefault="00EE700D" w:rsidP="003D24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2013</w:t>
            </w:r>
          </w:p>
        </w:tc>
        <w:tc>
          <w:tcPr>
            <w:tcW w:w="550" w:type="pct"/>
            <w:tcBorders>
              <w:top w:val="single" w:sz="8" w:space="0" w:color="C0504D" w:themeColor="accent2"/>
            </w:tcBorders>
          </w:tcPr>
          <w:p w:rsidR="00EE700D" w:rsidRPr="005B4FC4" w:rsidRDefault="00EE700D" w:rsidP="003D24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2014</w:t>
            </w:r>
          </w:p>
        </w:tc>
        <w:tc>
          <w:tcPr>
            <w:tcW w:w="550" w:type="pct"/>
            <w:tcBorders>
              <w:top w:val="single" w:sz="8" w:space="0" w:color="C0504D" w:themeColor="accent2"/>
            </w:tcBorders>
          </w:tcPr>
          <w:p w:rsidR="00EE700D" w:rsidRPr="005B4FC4" w:rsidRDefault="00EE700D" w:rsidP="00381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Pr>
                <w:rFonts w:asciiTheme="minorHAnsi" w:hAnsiTheme="minorHAnsi" w:cstheme="minorHAnsi"/>
                <w:bCs/>
                <w:color w:val="auto"/>
                <w:sz w:val="20"/>
                <w:szCs w:val="20"/>
              </w:rPr>
              <w:t>2015</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Systèmes d'information</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23%</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23%</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31%</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Préparation de commandes</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20%</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28%</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32%</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Emballage</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11%</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22%</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21%</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Tenue et gestion de stock/Magasinage</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22%</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31%</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32%</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Réception</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19%</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28%</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33%</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Expédition</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18%</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27%</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32%</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 xml:space="preserve">Conduite d'engins de manutention/levage </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34%</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51%</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62%</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Entretien/Maintenance d'engins de manutention</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10%</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26%</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16%</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Prévention de la malveillance et des vols/Sûreté</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15%</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19%</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21%</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Matières dangereuses</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15%</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26%</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19%</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Prévention des risques professionnels/Sécurité</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33%</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60%</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41%</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Gestes et postures/Ergonomie</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49%</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70%</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65%</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Prévention des risques liés à l'activité physique (PRAP)</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33%</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53%</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55%</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Sauveteur secouriste du travail (SST)</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28%</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53%</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58%</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Dynamique et efficacité du travail en équipe</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21%</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27%</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32%</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Qualité/Procédures</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8%</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24%</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27%</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Techniques de communication</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11%</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15%</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16%</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Communication/vente</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4%</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5%</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 xml:space="preserve">Sensibilisation à la relation client-fournisseur/Connaissance de l'environnement professionnel </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5%</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17%</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17%</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Gestion du stress</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13%</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26%</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25%</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Langues étrangères</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5%</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11%</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14%</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 xml:space="preserve">Gestion des déchets, environnement – développement durable </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11%</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25%</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22%</w:t>
            </w:r>
          </w:p>
        </w:tc>
      </w:tr>
      <w:tr w:rsidR="00EE700D" w:rsidRPr="005B4FC4" w:rsidTr="003D241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Risque électrique</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10%</w:t>
            </w:r>
          </w:p>
        </w:tc>
        <w:tc>
          <w:tcPr>
            <w:tcW w:w="550" w:type="pct"/>
          </w:tcPr>
          <w:p w:rsidR="00EE700D" w:rsidRPr="005B4FC4" w:rsidRDefault="00EE700D" w:rsidP="003D24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22%</w:t>
            </w:r>
          </w:p>
        </w:tc>
        <w:tc>
          <w:tcPr>
            <w:tcW w:w="550" w:type="pct"/>
            <w:vAlign w:val="bottom"/>
          </w:tcPr>
          <w:p w:rsidR="00EE700D" w:rsidRPr="00EE700D" w:rsidRDefault="00EE700D" w:rsidP="00EE70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18%</w:t>
            </w:r>
          </w:p>
        </w:tc>
      </w:tr>
      <w:tr w:rsidR="00EE700D" w:rsidRPr="005B4FC4" w:rsidTr="003D241D">
        <w:trPr>
          <w:trHeight w:val="225"/>
          <w:jc w:val="center"/>
        </w:trPr>
        <w:tc>
          <w:tcPr>
            <w:cnfStyle w:val="001000000000" w:firstRow="0" w:lastRow="0" w:firstColumn="1" w:lastColumn="0" w:oddVBand="0" w:evenVBand="0" w:oddHBand="0" w:evenHBand="0" w:firstRowFirstColumn="0" w:firstRowLastColumn="0" w:lastRowFirstColumn="0" w:lastRowLastColumn="0"/>
            <w:tcW w:w="3350" w:type="pct"/>
            <w:noWrap/>
          </w:tcPr>
          <w:p w:rsidR="00EE700D" w:rsidRPr="005B4FC4" w:rsidRDefault="00EE700D" w:rsidP="00381CD6">
            <w:pPr>
              <w:ind w:left="64"/>
              <w:rPr>
                <w:rFonts w:asciiTheme="minorHAnsi" w:hAnsiTheme="minorHAnsi" w:cstheme="minorHAnsi"/>
                <w:b w:val="0"/>
                <w:bCs w:val="0"/>
                <w:color w:val="auto"/>
                <w:sz w:val="20"/>
                <w:szCs w:val="20"/>
              </w:rPr>
            </w:pPr>
            <w:r w:rsidRPr="005B4FC4">
              <w:rPr>
                <w:rFonts w:asciiTheme="minorHAnsi" w:hAnsiTheme="minorHAnsi" w:cstheme="minorHAnsi"/>
                <w:b w:val="0"/>
                <w:bCs w:val="0"/>
                <w:color w:val="auto"/>
                <w:sz w:val="20"/>
                <w:szCs w:val="20"/>
              </w:rPr>
              <w:t>Autres</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1%</w:t>
            </w:r>
          </w:p>
        </w:tc>
        <w:tc>
          <w:tcPr>
            <w:tcW w:w="550" w:type="pct"/>
          </w:tcPr>
          <w:p w:rsidR="00EE700D" w:rsidRPr="005B4FC4" w:rsidRDefault="00EE700D" w:rsidP="003D24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5B4FC4">
              <w:rPr>
                <w:rFonts w:asciiTheme="minorHAnsi" w:hAnsiTheme="minorHAnsi" w:cstheme="minorHAnsi"/>
                <w:bCs/>
                <w:color w:val="auto"/>
                <w:sz w:val="20"/>
                <w:szCs w:val="20"/>
              </w:rPr>
              <w:t>5%</w:t>
            </w:r>
          </w:p>
        </w:tc>
        <w:tc>
          <w:tcPr>
            <w:tcW w:w="550" w:type="pct"/>
            <w:vAlign w:val="bottom"/>
          </w:tcPr>
          <w:p w:rsidR="00EE700D" w:rsidRPr="00EE700D" w:rsidRDefault="00EE700D" w:rsidP="00EE70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EE700D">
              <w:rPr>
                <w:rFonts w:asciiTheme="minorHAnsi" w:hAnsiTheme="minorHAnsi" w:cstheme="minorHAnsi"/>
                <w:bCs/>
                <w:color w:val="auto"/>
                <w:sz w:val="20"/>
                <w:szCs w:val="20"/>
              </w:rPr>
              <w:t>5%</w:t>
            </w:r>
          </w:p>
        </w:tc>
      </w:tr>
    </w:tbl>
    <w:p w:rsidR="00FC02A9" w:rsidRPr="00B56E74" w:rsidRDefault="00FC02A9" w:rsidP="00FC02A9">
      <w:pPr>
        <w:jc w:val="both"/>
        <w:rPr>
          <w:rFonts w:asciiTheme="minorHAnsi" w:hAnsiTheme="minorHAnsi" w:cstheme="minorHAnsi"/>
        </w:rPr>
      </w:pPr>
    </w:p>
    <w:p w:rsidR="00A32B49" w:rsidRDefault="008B2BA1" w:rsidP="00A32B49">
      <w:pPr>
        <w:jc w:val="both"/>
        <w:rPr>
          <w:rFonts w:asciiTheme="minorHAnsi" w:hAnsiTheme="minorHAnsi" w:cstheme="minorHAnsi"/>
        </w:rPr>
      </w:pPr>
      <w:r>
        <w:rPr>
          <w:rFonts w:asciiTheme="minorHAnsi" w:hAnsiTheme="minorHAnsi" w:cstheme="minorHAnsi"/>
        </w:rPr>
        <w:t>La prévention des risques professionnels des opérateurs logistiques est au cœur de la politique de formation des employeurs : 65% d’entre eux esti</w:t>
      </w:r>
      <w:r w:rsidR="00A32B49">
        <w:rPr>
          <w:rFonts w:asciiTheme="minorHAnsi" w:hAnsiTheme="minorHAnsi" w:cstheme="minorHAnsi"/>
        </w:rPr>
        <w:t xml:space="preserve">ment nécessaire qu’ils suivent une formation Gestes et postures / ergonomie, 58% une formation sauveteur secouriste du travail (SST), qui </w:t>
      </w:r>
      <w:r w:rsidR="00A32B49" w:rsidRPr="00A32B49">
        <w:rPr>
          <w:rFonts w:asciiTheme="minorHAnsi" w:hAnsiTheme="minorHAnsi" w:cstheme="minorHAnsi"/>
        </w:rPr>
        <w:t>vise à permettre d'identifier les accidents du travail et les conduites à tenir en attendant les secours,</w:t>
      </w:r>
      <w:r w:rsidR="00A32B49">
        <w:rPr>
          <w:rFonts w:asciiTheme="minorHAnsi" w:hAnsiTheme="minorHAnsi" w:cstheme="minorHAnsi"/>
        </w:rPr>
        <w:t xml:space="preserve"> et 55% une formation Prévention des risques liés à l’activité physique (PRAP), laquelle</w:t>
      </w:r>
      <w:r w:rsidR="00A32B49" w:rsidRPr="00A32B49">
        <w:rPr>
          <w:rFonts w:asciiTheme="minorHAnsi" w:hAnsiTheme="minorHAnsi" w:cstheme="minorHAnsi"/>
        </w:rPr>
        <w:t xml:space="preserve"> vise, par le biais de la prévention, la prise de conscience des personnels de l'entreprise de l'importance des conséquences et des impacts sur la santé des risques au travail.</w:t>
      </w:r>
    </w:p>
    <w:p w:rsidR="00A32B49" w:rsidRDefault="00A32B49" w:rsidP="00FC02A9">
      <w:pPr>
        <w:jc w:val="both"/>
        <w:rPr>
          <w:rFonts w:asciiTheme="minorHAnsi" w:hAnsiTheme="minorHAnsi" w:cstheme="minorHAnsi"/>
        </w:rPr>
      </w:pPr>
    </w:p>
    <w:p w:rsidR="00FC02A9" w:rsidRPr="00B56E74" w:rsidRDefault="00A32B49" w:rsidP="00FC02A9">
      <w:pPr>
        <w:jc w:val="both"/>
        <w:rPr>
          <w:rFonts w:asciiTheme="minorHAnsi" w:hAnsiTheme="minorHAnsi" w:cstheme="minorHAnsi"/>
          <w:u w:val="single"/>
        </w:rPr>
      </w:pPr>
      <w:r>
        <w:rPr>
          <w:rFonts w:asciiTheme="minorHAnsi" w:hAnsiTheme="minorHAnsi" w:cstheme="minorHAnsi"/>
        </w:rPr>
        <w:t>A noter aussi la montée en puissance du besoin de formations en matière de systèmes d’information (23% en 2013 et 2014, 31% en 2015).</w:t>
      </w:r>
    </w:p>
    <w:sectPr w:rsidR="00FC02A9" w:rsidRPr="00B56E74" w:rsidSect="00826A43">
      <w:footerReference w:type="default" r:id="rId75"/>
      <w:pgSz w:w="16838" w:h="11906" w:orient="landscape"/>
      <w:pgMar w:top="851" w:right="851" w:bottom="851" w:left="1134"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93D" w:rsidRDefault="00C5293D">
      <w:r>
        <w:separator/>
      </w:r>
    </w:p>
  </w:endnote>
  <w:endnote w:type="continuationSeparator" w:id="0">
    <w:p w:rsidR="00C5293D" w:rsidRDefault="00C52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010526"/>
      <w:docPartObj>
        <w:docPartGallery w:val="Page Numbers (Bottom of Page)"/>
        <w:docPartUnique/>
      </w:docPartObj>
    </w:sdtPr>
    <w:sdtEndPr/>
    <w:sdtContent>
      <w:p w:rsidR="00C5293D" w:rsidRPr="00E338AB" w:rsidRDefault="00C5293D" w:rsidP="00E338AB">
        <w:pPr>
          <w:pStyle w:val="Pieddepage"/>
          <w:jc w:val="right"/>
        </w:pPr>
        <w:r>
          <w:rPr>
            <w:noProof/>
          </w:rPr>
          <mc:AlternateContent>
            <mc:Choice Requires="wps">
              <w:drawing>
                <wp:anchor distT="0" distB="0" distL="114300" distR="114300" simplePos="0" relativeHeight="251659264" behindDoc="0" locked="0" layoutInCell="1" allowOverlap="1" wp14:anchorId="7D22DCB5" wp14:editId="3D7A1912">
                  <wp:simplePos x="0" y="0"/>
                  <wp:positionH relativeFrom="column">
                    <wp:posOffset>3810</wp:posOffset>
                  </wp:positionH>
                  <wp:positionV relativeFrom="margin">
                    <wp:posOffset>6558280</wp:posOffset>
                  </wp:positionV>
                  <wp:extent cx="9167750" cy="82800"/>
                  <wp:effectExtent l="0" t="0" r="0" b="0"/>
                  <wp:wrapNone/>
                  <wp:docPr id="308" name="Rectangle 308"/>
                  <wp:cNvGraphicFramePr/>
                  <a:graphic xmlns:a="http://schemas.openxmlformats.org/drawingml/2006/main">
                    <a:graphicData uri="http://schemas.microsoft.com/office/word/2010/wordprocessingShape">
                      <wps:wsp>
                        <wps:cNvSpPr/>
                        <wps:spPr>
                          <a:xfrm>
                            <a:off x="0" y="0"/>
                            <a:ext cx="9167750" cy="82800"/>
                          </a:xfrm>
                          <a:prstGeom prst="rect">
                            <a:avLst/>
                          </a:prstGeom>
                          <a:gradFill flip="none" rotWithShape="1">
                            <a:gsLst>
                              <a:gs pos="24000">
                                <a:srgbClr val="94514F"/>
                              </a:gs>
                              <a:gs pos="0">
                                <a:schemeClr val="accent2">
                                  <a:lumMod val="50000"/>
                                  <a:shade val="30000"/>
                                  <a:satMod val="115000"/>
                                </a:schemeClr>
                              </a:gs>
                              <a:gs pos="80000">
                                <a:srgbClr val="68201E">
                                  <a:lumMod val="42000"/>
                                  <a:lumOff val="58000"/>
                                  <a:alpha val="68000"/>
                                </a:srgbClr>
                              </a:gs>
                              <a:gs pos="53000">
                                <a:srgbClr val="68201E">
                                  <a:lumMod val="42000"/>
                                  <a:lumOff val="58000"/>
                                  <a:alpha val="68000"/>
                                </a:srgbClr>
                              </a:gs>
                            </a:gsLst>
                            <a:lin ang="0" scaled="1"/>
                            <a:tileRect/>
                          </a:gra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3pt;margin-top:516.4pt;width:721.8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URcQMAABcIAAAOAAAAZHJzL2Uyb0RvYy54bWy0Vctu2zgU3Q8w/0Bw38hybCcxohRBOhkM&#10;kGmDpEXWNEVZxFCkhqRjp1/fw4cUtTG6GEw3Eh/3ee7hvZfvD50iz8I6aXRFy5MZJUJzU0u9reiX&#10;z7fvzilxnumaKaNFRV+Eo++vfv/tct+vxdy0RtXCEhjRbr3vK9p636+LwvFWdMydmF5oXDbGdsxj&#10;a7dFbdke1jtVzGezVbE3tu6t4cI5nH5Il/Qq2m8awf2npnHCE1VRxObj18bvJnyLq0u23lrWt5Ln&#10;MNh/iKJjUsPpaOoD84zsrHxjqpPcGmcaf8JNV5imkVzEHJBNOfshm8eW9SLmAnBcP8Lk/j+z/OPz&#10;vSWyrujpDKXSrEORHgAb01slSDgERPverSH52N/bvHNYhnwPje3CH5mQQ4T1ZYRVHDzhOLwoV2dn&#10;S6DPcXc+P59F2ItX5d46/6cwHQmLilq4j2Cy5zvn4RCig0jGuL6VSpFGSVBGg1iUWOOfpG8jZCBi&#10;KoaDftRwpDdAbb6YwXk4cXa7uVGWPDMQ42KxLBe3IVF42rqpRpYOdBSjPONcaD+PhtSu+9vUyc4S&#10;1jOlXMtqkU5PJ6fMj8JlGcSz08j34OBICMDrWNCrczDmjzcxLPAqcgwIDeTPoQUrwRlbM9W3LJ2u&#10;hlPknRE5EsAyZPAWtV8dQKxFLqCSmoCRkWCOMyVA2DKl46USgbC5epZFboRElQ5fbQJX0m06EbEv&#10;ZMtSa2Ef23pPNmpnHxgMr05RGUpqGci4nAW+YoOmUYb1gEVg5MiIjWL8nwjRBN2RDpm/Q3lHlxHr&#10;STRFeGfpZcWVf1EiJfIgGjxSvKVEupEuqYyJj4nzE+JN/Y8a0afSMBgsN4BmtJ0NHON6xBppZPmg&#10;muIelX/yUAblUSN6NtqPyp3UxiaGfe9d+UG5SfIIfwJNWG5M/YIWhvef2NHzW4nS3DHn75lFM0f1&#10;MKD8J3waZfYVNXlFSWvs12PnQR49FreU7DEcKur+3TGLNqP+0ugjF+ViAbM+bhbLszk2dnqzmd7o&#10;XXdj0GZKjMKex2WQ92pYNtZ0T5hj18Errpjm8F1R7u2wufFpaGEScnF9HcUwQXrm7/Rjz4eOF0j5&#10;+fDEbJ97qUcT/miGQYLH/31LTbKhHtpc77xpZHxHr7hmvDF9InHypAzjbbqPUq/z/OobAAAA//8D&#10;AFBLAwQUAAYACAAAACEAb4TlMN4AAAALAQAADwAAAGRycy9kb3ducmV2LnhtbEyPzW7CMBCE75X6&#10;DtYi9YKK3RAQCnEQqtRjKxHau4m3SYR/IttA6NN3c2qPOzOa/abcjdawK4bYeyfhZSGAoWu87l0r&#10;4fP49rwBFpNyWhnvUMIdI+yqx4dSFdrf3AGvdWoZlbhYKAldSkPBeWw6tCou/ICOvG8frEp0hpbr&#10;oG5Ubg3PhFhzq3pHHzo14GuHzbm+WAlC66O5Z/uPn/Mh8Pf5vF998VrKp9m43wJLOKa/MEz4hA4V&#10;MZ38xenIjIQ15UgVy4wWTH6e50tgp0nLVxvgVcn/b6h+AQAA//8DAFBLAQItABQABgAIAAAAIQC2&#10;gziS/gAAAOEBAAATAAAAAAAAAAAAAAAAAAAAAABbQ29udGVudF9UeXBlc10ueG1sUEsBAi0AFAAG&#10;AAgAAAAhADj9If/WAAAAlAEAAAsAAAAAAAAAAAAAAAAALwEAAF9yZWxzLy5yZWxzUEsBAi0AFAAG&#10;AAgAAAAhAAWcBRFxAwAAFwgAAA4AAAAAAAAAAAAAAAAALgIAAGRycy9lMm9Eb2MueG1sUEsBAi0A&#10;FAAGAAgAAAAhAG+E5TDeAAAACwEAAA8AAAAAAAAAAAAAAAAAywUAAGRycy9kb3ducmV2LnhtbFBL&#10;BQYAAAAABAAEAPMAAADWBgAAAAA=&#10;" fillcolor="#622423 [1605]" stroked="f" strokeweight="2pt">
                  <v:fill opacity="44564f" color2="#dc8784" rotate="t" angle="90" colors="0 #3a0e0d;15729f #94514f;34734f #dc8784;52429f #dc8784" focus="100%" type="gradient"/>
                  <w10:wrap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464953"/>
      <w:docPartObj>
        <w:docPartGallery w:val="Page Numbers (Bottom of Page)"/>
        <w:docPartUnique/>
      </w:docPartObj>
    </w:sdtPr>
    <w:sdtEndPr/>
    <w:sdtContent>
      <w:p w:rsidR="00C5293D" w:rsidRPr="00E338AB" w:rsidRDefault="00C5293D" w:rsidP="00E338AB">
        <w:pPr>
          <w:pStyle w:val="Pieddepage"/>
          <w:jc w:val="right"/>
        </w:pPr>
        <w:r>
          <w:rPr>
            <w:noProof/>
          </w:rPr>
          <mc:AlternateContent>
            <mc:Choice Requires="wps">
              <w:drawing>
                <wp:anchor distT="0" distB="0" distL="114300" distR="114300" simplePos="0" relativeHeight="251661312" behindDoc="0" locked="0" layoutInCell="1" allowOverlap="1" wp14:anchorId="18581395" wp14:editId="05F3F80D">
                  <wp:simplePos x="0" y="0"/>
                  <wp:positionH relativeFrom="column">
                    <wp:posOffset>3810</wp:posOffset>
                  </wp:positionH>
                  <wp:positionV relativeFrom="margin">
                    <wp:posOffset>6520180</wp:posOffset>
                  </wp:positionV>
                  <wp:extent cx="9167750" cy="82800"/>
                  <wp:effectExtent l="0" t="0" r="0" b="0"/>
                  <wp:wrapNone/>
                  <wp:docPr id="309" name="Rectangle 309"/>
                  <wp:cNvGraphicFramePr/>
                  <a:graphic xmlns:a="http://schemas.openxmlformats.org/drawingml/2006/main">
                    <a:graphicData uri="http://schemas.microsoft.com/office/word/2010/wordprocessingShape">
                      <wps:wsp>
                        <wps:cNvSpPr/>
                        <wps:spPr>
                          <a:xfrm>
                            <a:off x="0" y="0"/>
                            <a:ext cx="9167750" cy="82800"/>
                          </a:xfrm>
                          <a:prstGeom prst="rect">
                            <a:avLst/>
                          </a:prstGeom>
                          <a:gradFill flip="none" rotWithShape="1">
                            <a:gsLst>
                              <a:gs pos="24000">
                                <a:srgbClr val="94514F"/>
                              </a:gs>
                              <a:gs pos="0">
                                <a:schemeClr val="accent2">
                                  <a:lumMod val="50000"/>
                                  <a:shade val="30000"/>
                                  <a:satMod val="115000"/>
                                </a:schemeClr>
                              </a:gs>
                              <a:gs pos="80000">
                                <a:srgbClr val="68201E">
                                  <a:lumMod val="42000"/>
                                  <a:lumOff val="58000"/>
                                  <a:alpha val="68000"/>
                                </a:srgbClr>
                              </a:gs>
                              <a:gs pos="53000">
                                <a:srgbClr val="68201E">
                                  <a:lumMod val="42000"/>
                                  <a:lumOff val="58000"/>
                                  <a:alpha val="68000"/>
                                </a:srgbClr>
                              </a:gs>
                            </a:gsLst>
                            <a:lin ang="0" scaled="1"/>
                            <a:tileRect/>
                          </a:gra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3pt;margin-top:513.4pt;width:721.85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VzcQMAABcIAAAOAAAAZHJzL2Uyb0RvYy54bWy0Vctu2zgU3Q8w/0Bw38hybCcxohRBOhkM&#10;kGmDpEXWNEVZxFCkhqRjp1/fw4cUtTG6GEw3Eh/3ee7hvZfvD50iz8I6aXRFy5MZJUJzU0u9reiX&#10;z7fvzilxnumaKaNFRV+Eo++vfv/tct+vxdy0RtXCEhjRbr3vK9p636+LwvFWdMydmF5oXDbGdsxj&#10;a7dFbdke1jtVzGezVbE3tu6t4cI5nH5Il/Qq2m8awf2npnHCE1VRxObj18bvJnyLq0u23lrWt5Ln&#10;MNh/iKJjUsPpaOoD84zsrHxjqpPcGmcaf8JNV5imkVzEHJBNOfshm8eW9SLmAnBcP8Lk/j+z/OPz&#10;vSWyrujp7IISzToU6QGwMb1VgoRDQLTv3RqSj/29zTuHZcj30Ngu/JEJOURYX0ZYxcETjsOLcnV2&#10;tgT6HHfn8/NZhL14Ve6t838K05GwqKiF+wgme75zHg4hOohkjOtbqRRplARlNIhFiTX+Sfo2QgYi&#10;pmI46EcNR3oD1OaLGZyHE2e3mxtlyTMDMS4Wy3JxGxKFp62bamTpQEcxyjPOhfbzaEjtur9Nnews&#10;YT1TyrWsFun0dHLK/ChclkE8O418Dw6OhAC8jgW9Ogdj/ngTwwKvIseA0ED+HFqwEpyxNVN9y9Lp&#10;ajhF3hmRIwEsQwZvUfvVAcRa5AIqqQkYGQnmOFMChC1TOl4qEQibq2dZ5EZIVOnw1SZwJd2mExH7&#10;QrYstRb2sa33ZKN29oHB8OoUlaGkloGMy1ngKzZoGmVYD1gERo6M2CjG/4kQTdAd6ZD5O5R3dBmx&#10;nkRThHeWXlZc+RclUiIPosEjxVtKpBvpksqY+Jg4PyHe1P+oEX0qDYPBcgNoRtvZwDGuR6yRRpYP&#10;qinuUfknD2VQHjWiZ6P9qNxJbWxi2PfelR+UmySP8CfQhOXG1C9oYXj/iR09v5UozR1z/p5ZNHNU&#10;DwPKf8KnUWZfUZNXlLTGfj12HuTRY3FLyR7DoaLu3x2zaDPqL40+clEuFjDr42axPJtjY6c3m+mN&#10;3nU3Bm2mxCjseVwGea+GZWNN94Q5dh284oppDt8V5d4OmxufhhYmIRfX11EME6Rn/k4/9nzoeIGU&#10;nw9PzPa5l3o04Y9mGCR4/N+31CQb6qHN9c6bRsZ39IprxhvTJxInT8ow3qb7KPU6z6++AQAA//8D&#10;AFBLAwQUAAYACAAAACEAouyist4AAAALAQAADwAAAGRycy9kb3ducmV2LnhtbEyPwU7DMBBE70j8&#10;g7VIXCpqk4aohDhVhcQRpKZwd2OTRLXXke22KV/P5gTHnRnNvqk2k7PsbEIcPEp4XApgBluvB+wk&#10;fO7fHtbAYlKolfVoJFxNhE19e1OpUvsL7sy5SR2jEoylktCnNJacx7Y3TsWlHw2S9+2DU4nO0HEd&#10;1IXKneWZEAV3akD60KvRvPamPTYnJ0FovbfXbPvxc9wF/r5YDE9fvJHy/m7avgBLZkp/YZjxCR1q&#10;Yjr4E+rIrISCcqSKrKAFs5/n+QrYYdZWz2vgdcX/b6h/AQAA//8DAFBLAQItABQABgAIAAAAIQC2&#10;gziS/gAAAOEBAAATAAAAAAAAAAAAAAAAAAAAAABbQ29udGVudF9UeXBlc10ueG1sUEsBAi0AFAAG&#10;AAgAAAAhADj9If/WAAAAlAEAAAsAAAAAAAAAAAAAAAAALwEAAF9yZWxzLy5yZWxzUEsBAi0AFAAG&#10;AAgAAAAhAMoJ5XNxAwAAFwgAAA4AAAAAAAAAAAAAAAAALgIAAGRycy9lMm9Eb2MueG1sUEsBAi0A&#10;FAAGAAgAAAAhAKLsorLeAAAACwEAAA8AAAAAAAAAAAAAAAAAywUAAGRycy9kb3ducmV2LnhtbFBL&#10;BQYAAAAABAAEAPMAAADWBgAAAAA=&#10;" fillcolor="#622423 [1605]" stroked="f" strokeweight="2pt">
                  <v:fill opacity="44564f" color2="#dc8784" rotate="t" angle="90" colors="0 #3a0e0d;15729f #94514f;34734f #dc8784;52429f #dc8784" focus="100%" type="gradient"/>
                  <w10:wrap anchory="margin"/>
                </v:rect>
              </w:pict>
            </mc:Fallback>
          </mc:AlternateContent>
        </w:r>
        <w:r>
          <w:fldChar w:fldCharType="begin"/>
        </w:r>
        <w:r>
          <w:instrText>PAGE   \* MERGEFORMAT</w:instrText>
        </w:r>
        <w:r>
          <w:fldChar w:fldCharType="separate"/>
        </w:r>
        <w:r w:rsidR="00694363">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93D" w:rsidRDefault="00C5293D">
      <w:r>
        <w:separator/>
      </w:r>
    </w:p>
  </w:footnote>
  <w:footnote w:type="continuationSeparator" w:id="0">
    <w:p w:rsidR="00C5293D" w:rsidRDefault="00C52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1085"/>
    <w:multiLevelType w:val="multilevel"/>
    <w:tmpl w:val="BE68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E72EB"/>
    <w:multiLevelType w:val="hybridMultilevel"/>
    <w:tmpl w:val="E73EC7B2"/>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13D92753"/>
    <w:multiLevelType w:val="multilevel"/>
    <w:tmpl w:val="88EC353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2B0057E8"/>
    <w:multiLevelType w:val="multilevel"/>
    <w:tmpl w:val="AC1891D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nsid w:val="2D247AB2"/>
    <w:multiLevelType w:val="hybridMultilevel"/>
    <w:tmpl w:val="ADF29672"/>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2E4F545E"/>
    <w:multiLevelType w:val="hybridMultilevel"/>
    <w:tmpl w:val="544C71FC"/>
    <w:lvl w:ilvl="0" w:tplc="C6B8286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6D4205"/>
    <w:multiLevelType w:val="hybridMultilevel"/>
    <w:tmpl w:val="1878F8DA"/>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nsid w:val="38845795"/>
    <w:multiLevelType w:val="hybridMultilevel"/>
    <w:tmpl w:val="87FEB1A4"/>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3AC56762"/>
    <w:multiLevelType w:val="hybridMultilevel"/>
    <w:tmpl w:val="E7706C40"/>
    <w:lvl w:ilvl="0" w:tplc="040C000B">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
    <w:nsid w:val="41E074F7"/>
    <w:multiLevelType w:val="hybridMultilevel"/>
    <w:tmpl w:val="BD087A90"/>
    <w:lvl w:ilvl="0" w:tplc="3BE066E4">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E60763A"/>
    <w:multiLevelType w:val="multilevel"/>
    <w:tmpl w:val="9B2C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F4757"/>
    <w:multiLevelType w:val="hybridMultilevel"/>
    <w:tmpl w:val="B1268A08"/>
    <w:lvl w:ilvl="0" w:tplc="6A1E7624">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BC1DC2"/>
    <w:multiLevelType w:val="multilevel"/>
    <w:tmpl w:val="C2E6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827F59"/>
    <w:multiLevelType w:val="hybridMultilevel"/>
    <w:tmpl w:val="9C7A8F56"/>
    <w:lvl w:ilvl="0" w:tplc="2B2EC734">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C665861"/>
    <w:multiLevelType w:val="multilevel"/>
    <w:tmpl w:val="27A2CBA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2160"/>
        </w:tabs>
        <w:ind w:left="2160" w:hanging="1800"/>
      </w:pPr>
      <w:rPr>
        <w:rFonts w:hint="default"/>
      </w:rPr>
    </w:lvl>
    <w:lvl w:ilvl="5">
      <w:start w:val="1"/>
      <w:numFmt w:val="decimal"/>
      <w:isLgl/>
      <w:lvlText w:val="%1.%2.%3.%4.%5.%6"/>
      <w:lvlJc w:val="left"/>
      <w:pPr>
        <w:tabs>
          <w:tab w:val="num" w:pos="2520"/>
        </w:tabs>
        <w:ind w:left="2520" w:hanging="216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15">
    <w:nsid w:val="6CB64982"/>
    <w:multiLevelType w:val="multilevel"/>
    <w:tmpl w:val="AD5E8862"/>
    <w:lvl w:ilvl="0">
      <w:start w:val="1"/>
      <w:numFmt w:val="bullet"/>
      <w:lvlText w:val=""/>
      <w:lvlJc w:val="left"/>
      <w:pPr>
        <w:tabs>
          <w:tab w:val="num" w:pos="1080"/>
        </w:tabs>
        <w:ind w:left="1080" w:hanging="72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9"/>
  </w:num>
  <w:num w:numId="2">
    <w:abstractNumId w:val="13"/>
  </w:num>
  <w:num w:numId="3">
    <w:abstractNumId w:val="8"/>
  </w:num>
  <w:num w:numId="4">
    <w:abstractNumId w:val="6"/>
  </w:num>
  <w:num w:numId="5">
    <w:abstractNumId w:val="4"/>
  </w:num>
  <w:num w:numId="6">
    <w:abstractNumId w:val="1"/>
  </w:num>
  <w:num w:numId="7">
    <w:abstractNumId w:val="7"/>
  </w:num>
  <w:num w:numId="8">
    <w:abstractNumId w:val="14"/>
  </w:num>
  <w:num w:numId="9">
    <w:abstractNumId w:val="3"/>
  </w:num>
  <w:num w:numId="10">
    <w:abstractNumId w:val="0"/>
  </w:num>
  <w:num w:numId="11">
    <w:abstractNumId w:val="5"/>
  </w:num>
  <w:num w:numId="12">
    <w:abstractNumId w:val="2"/>
  </w:num>
  <w:num w:numId="13">
    <w:abstractNumId w:val="11"/>
  </w:num>
  <w:num w:numId="14">
    <w:abstractNumId w:val="15"/>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99329">
      <o:colormru v:ext="edit" colors="#e49e82,#9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C72"/>
    <w:rsid w:val="00002BFA"/>
    <w:rsid w:val="00002D1D"/>
    <w:rsid w:val="000039F6"/>
    <w:rsid w:val="00003DC0"/>
    <w:rsid w:val="000042CE"/>
    <w:rsid w:val="000046B3"/>
    <w:rsid w:val="00005CC4"/>
    <w:rsid w:val="00005FDB"/>
    <w:rsid w:val="00007C9F"/>
    <w:rsid w:val="00010205"/>
    <w:rsid w:val="000123F4"/>
    <w:rsid w:val="00013073"/>
    <w:rsid w:val="00013544"/>
    <w:rsid w:val="000139A3"/>
    <w:rsid w:val="00015D4F"/>
    <w:rsid w:val="00017E73"/>
    <w:rsid w:val="00017F34"/>
    <w:rsid w:val="0002034E"/>
    <w:rsid w:val="00020D96"/>
    <w:rsid w:val="0002167E"/>
    <w:rsid w:val="00021F92"/>
    <w:rsid w:val="000227D8"/>
    <w:rsid w:val="00023D43"/>
    <w:rsid w:val="00024BEF"/>
    <w:rsid w:val="00024E78"/>
    <w:rsid w:val="0002663F"/>
    <w:rsid w:val="00031125"/>
    <w:rsid w:val="0003140C"/>
    <w:rsid w:val="000319D0"/>
    <w:rsid w:val="00032142"/>
    <w:rsid w:val="000333F1"/>
    <w:rsid w:val="00033AF9"/>
    <w:rsid w:val="00033D51"/>
    <w:rsid w:val="0003468F"/>
    <w:rsid w:val="000353A6"/>
    <w:rsid w:val="00035E45"/>
    <w:rsid w:val="0004048B"/>
    <w:rsid w:val="0004094C"/>
    <w:rsid w:val="000413BA"/>
    <w:rsid w:val="000415D3"/>
    <w:rsid w:val="00042608"/>
    <w:rsid w:val="00042EDC"/>
    <w:rsid w:val="00043701"/>
    <w:rsid w:val="00043B38"/>
    <w:rsid w:val="00044FF6"/>
    <w:rsid w:val="00050E5E"/>
    <w:rsid w:val="000514CF"/>
    <w:rsid w:val="00052937"/>
    <w:rsid w:val="00053B72"/>
    <w:rsid w:val="00056CCA"/>
    <w:rsid w:val="00057440"/>
    <w:rsid w:val="000575A9"/>
    <w:rsid w:val="00061503"/>
    <w:rsid w:val="00061C09"/>
    <w:rsid w:val="000643E9"/>
    <w:rsid w:val="0006457C"/>
    <w:rsid w:val="0006495F"/>
    <w:rsid w:val="00064D05"/>
    <w:rsid w:val="0006566F"/>
    <w:rsid w:val="00065716"/>
    <w:rsid w:val="00067DAA"/>
    <w:rsid w:val="0007017C"/>
    <w:rsid w:val="000707A9"/>
    <w:rsid w:val="00071E0C"/>
    <w:rsid w:val="00072932"/>
    <w:rsid w:val="00072995"/>
    <w:rsid w:val="0007443A"/>
    <w:rsid w:val="00074E4D"/>
    <w:rsid w:val="00076439"/>
    <w:rsid w:val="00077481"/>
    <w:rsid w:val="000779CC"/>
    <w:rsid w:val="00080DD3"/>
    <w:rsid w:val="0008371D"/>
    <w:rsid w:val="00085702"/>
    <w:rsid w:val="00087A19"/>
    <w:rsid w:val="000907E9"/>
    <w:rsid w:val="00090E16"/>
    <w:rsid w:val="00091EC3"/>
    <w:rsid w:val="00092164"/>
    <w:rsid w:val="00092A8E"/>
    <w:rsid w:val="00093F88"/>
    <w:rsid w:val="0009403D"/>
    <w:rsid w:val="00094233"/>
    <w:rsid w:val="000942C9"/>
    <w:rsid w:val="0009493D"/>
    <w:rsid w:val="00095289"/>
    <w:rsid w:val="00095FB2"/>
    <w:rsid w:val="00097F10"/>
    <w:rsid w:val="000A014F"/>
    <w:rsid w:val="000A0761"/>
    <w:rsid w:val="000A1169"/>
    <w:rsid w:val="000A13E0"/>
    <w:rsid w:val="000A1C64"/>
    <w:rsid w:val="000A2028"/>
    <w:rsid w:val="000A38F5"/>
    <w:rsid w:val="000A4CDF"/>
    <w:rsid w:val="000A7224"/>
    <w:rsid w:val="000A7B35"/>
    <w:rsid w:val="000B0D84"/>
    <w:rsid w:val="000B14BA"/>
    <w:rsid w:val="000B1D44"/>
    <w:rsid w:val="000B1FB7"/>
    <w:rsid w:val="000B1FE8"/>
    <w:rsid w:val="000B2034"/>
    <w:rsid w:val="000B2768"/>
    <w:rsid w:val="000B35AE"/>
    <w:rsid w:val="000B3E5A"/>
    <w:rsid w:val="000B4095"/>
    <w:rsid w:val="000B5F0A"/>
    <w:rsid w:val="000B65E7"/>
    <w:rsid w:val="000B671D"/>
    <w:rsid w:val="000B6DD0"/>
    <w:rsid w:val="000C08F2"/>
    <w:rsid w:val="000C0E9F"/>
    <w:rsid w:val="000C4FE2"/>
    <w:rsid w:val="000C5484"/>
    <w:rsid w:val="000C5ACF"/>
    <w:rsid w:val="000C5BD2"/>
    <w:rsid w:val="000C62B1"/>
    <w:rsid w:val="000C6383"/>
    <w:rsid w:val="000C709B"/>
    <w:rsid w:val="000C7CE8"/>
    <w:rsid w:val="000C7E9B"/>
    <w:rsid w:val="000D1787"/>
    <w:rsid w:val="000D19E9"/>
    <w:rsid w:val="000D1A25"/>
    <w:rsid w:val="000D2244"/>
    <w:rsid w:val="000D2751"/>
    <w:rsid w:val="000D450A"/>
    <w:rsid w:val="000D4E9D"/>
    <w:rsid w:val="000E094C"/>
    <w:rsid w:val="000E0ECA"/>
    <w:rsid w:val="000E255D"/>
    <w:rsid w:val="000E2E7B"/>
    <w:rsid w:val="000E4D00"/>
    <w:rsid w:val="000E5337"/>
    <w:rsid w:val="000E5667"/>
    <w:rsid w:val="000E5DD7"/>
    <w:rsid w:val="000E60CE"/>
    <w:rsid w:val="000E691E"/>
    <w:rsid w:val="000E7D5F"/>
    <w:rsid w:val="000F0BCD"/>
    <w:rsid w:val="000F231A"/>
    <w:rsid w:val="000F2B80"/>
    <w:rsid w:val="000F2D80"/>
    <w:rsid w:val="000F6F05"/>
    <w:rsid w:val="000F73CC"/>
    <w:rsid w:val="000F7FEE"/>
    <w:rsid w:val="00100D89"/>
    <w:rsid w:val="00101E02"/>
    <w:rsid w:val="00102367"/>
    <w:rsid w:val="001023DC"/>
    <w:rsid w:val="00102DFB"/>
    <w:rsid w:val="00103256"/>
    <w:rsid w:val="0010350C"/>
    <w:rsid w:val="0010352C"/>
    <w:rsid w:val="001037F0"/>
    <w:rsid w:val="00105280"/>
    <w:rsid w:val="00106014"/>
    <w:rsid w:val="0010603D"/>
    <w:rsid w:val="00106E9D"/>
    <w:rsid w:val="001070A9"/>
    <w:rsid w:val="0011180A"/>
    <w:rsid w:val="00111C62"/>
    <w:rsid w:val="0011229F"/>
    <w:rsid w:val="00112452"/>
    <w:rsid w:val="00113B6A"/>
    <w:rsid w:val="00113BAF"/>
    <w:rsid w:val="00114587"/>
    <w:rsid w:val="0011478C"/>
    <w:rsid w:val="00117D4F"/>
    <w:rsid w:val="00117DA4"/>
    <w:rsid w:val="00120D08"/>
    <w:rsid w:val="00120FF9"/>
    <w:rsid w:val="00121426"/>
    <w:rsid w:val="0012224D"/>
    <w:rsid w:val="00123AF6"/>
    <w:rsid w:val="00127272"/>
    <w:rsid w:val="0013035C"/>
    <w:rsid w:val="0013036C"/>
    <w:rsid w:val="001310BE"/>
    <w:rsid w:val="0013175F"/>
    <w:rsid w:val="00131B4E"/>
    <w:rsid w:val="00131B5C"/>
    <w:rsid w:val="0013284A"/>
    <w:rsid w:val="00132DB3"/>
    <w:rsid w:val="00133257"/>
    <w:rsid w:val="00133917"/>
    <w:rsid w:val="00133C68"/>
    <w:rsid w:val="00135570"/>
    <w:rsid w:val="00135688"/>
    <w:rsid w:val="00135B75"/>
    <w:rsid w:val="00137AE3"/>
    <w:rsid w:val="00137DE9"/>
    <w:rsid w:val="001419FA"/>
    <w:rsid w:val="00141B7D"/>
    <w:rsid w:val="00141B7F"/>
    <w:rsid w:val="00142333"/>
    <w:rsid w:val="00142B6B"/>
    <w:rsid w:val="00144286"/>
    <w:rsid w:val="0014556C"/>
    <w:rsid w:val="00146C09"/>
    <w:rsid w:val="001472A8"/>
    <w:rsid w:val="001475EF"/>
    <w:rsid w:val="00150F01"/>
    <w:rsid w:val="001533D9"/>
    <w:rsid w:val="0015480C"/>
    <w:rsid w:val="0015742C"/>
    <w:rsid w:val="001574D1"/>
    <w:rsid w:val="00157B24"/>
    <w:rsid w:val="00160150"/>
    <w:rsid w:val="00161AC2"/>
    <w:rsid w:val="00162A00"/>
    <w:rsid w:val="001645FC"/>
    <w:rsid w:val="00164A20"/>
    <w:rsid w:val="0016705C"/>
    <w:rsid w:val="001671F7"/>
    <w:rsid w:val="00170317"/>
    <w:rsid w:val="0017084B"/>
    <w:rsid w:val="00170CC0"/>
    <w:rsid w:val="00171299"/>
    <w:rsid w:val="0017147D"/>
    <w:rsid w:val="0017284B"/>
    <w:rsid w:val="00173FC9"/>
    <w:rsid w:val="00174714"/>
    <w:rsid w:val="0017519A"/>
    <w:rsid w:val="00175856"/>
    <w:rsid w:val="00177B8D"/>
    <w:rsid w:val="00180A44"/>
    <w:rsid w:val="001817C8"/>
    <w:rsid w:val="0018316E"/>
    <w:rsid w:val="00183195"/>
    <w:rsid w:val="00184F1D"/>
    <w:rsid w:val="00185447"/>
    <w:rsid w:val="001859C5"/>
    <w:rsid w:val="00186C98"/>
    <w:rsid w:val="00186CE1"/>
    <w:rsid w:val="001900C7"/>
    <w:rsid w:val="00190494"/>
    <w:rsid w:val="00190A5C"/>
    <w:rsid w:val="00190A79"/>
    <w:rsid w:val="001927EC"/>
    <w:rsid w:val="00192A0A"/>
    <w:rsid w:val="00192CF5"/>
    <w:rsid w:val="00192D1C"/>
    <w:rsid w:val="00193833"/>
    <w:rsid w:val="00194214"/>
    <w:rsid w:val="00195472"/>
    <w:rsid w:val="00195790"/>
    <w:rsid w:val="00196633"/>
    <w:rsid w:val="001A11B4"/>
    <w:rsid w:val="001A1D51"/>
    <w:rsid w:val="001A2190"/>
    <w:rsid w:val="001A48ED"/>
    <w:rsid w:val="001A6E4C"/>
    <w:rsid w:val="001A7107"/>
    <w:rsid w:val="001B10B2"/>
    <w:rsid w:val="001B127D"/>
    <w:rsid w:val="001B2971"/>
    <w:rsid w:val="001B36B8"/>
    <w:rsid w:val="001B582A"/>
    <w:rsid w:val="001B58A8"/>
    <w:rsid w:val="001B5A4A"/>
    <w:rsid w:val="001B5A62"/>
    <w:rsid w:val="001B6219"/>
    <w:rsid w:val="001B6F64"/>
    <w:rsid w:val="001B7B06"/>
    <w:rsid w:val="001B7F13"/>
    <w:rsid w:val="001C0C9F"/>
    <w:rsid w:val="001C0D3B"/>
    <w:rsid w:val="001C1C67"/>
    <w:rsid w:val="001C2601"/>
    <w:rsid w:val="001C2D2F"/>
    <w:rsid w:val="001C38E5"/>
    <w:rsid w:val="001C3CA8"/>
    <w:rsid w:val="001C3CAB"/>
    <w:rsid w:val="001C3E36"/>
    <w:rsid w:val="001C5C8C"/>
    <w:rsid w:val="001C715A"/>
    <w:rsid w:val="001C73E7"/>
    <w:rsid w:val="001D0713"/>
    <w:rsid w:val="001D0A21"/>
    <w:rsid w:val="001D2E19"/>
    <w:rsid w:val="001D4702"/>
    <w:rsid w:val="001D630D"/>
    <w:rsid w:val="001D66D0"/>
    <w:rsid w:val="001D6888"/>
    <w:rsid w:val="001D6D4E"/>
    <w:rsid w:val="001D7542"/>
    <w:rsid w:val="001D76C1"/>
    <w:rsid w:val="001E0B0B"/>
    <w:rsid w:val="001E2731"/>
    <w:rsid w:val="001E2C8E"/>
    <w:rsid w:val="001E5837"/>
    <w:rsid w:val="001E6FA9"/>
    <w:rsid w:val="001E7CFF"/>
    <w:rsid w:val="001F0448"/>
    <w:rsid w:val="001F0EF7"/>
    <w:rsid w:val="001F1E46"/>
    <w:rsid w:val="001F2C53"/>
    <w:rsid w:val="001F3F53"/>
    <w:rsid w:val="001F4233"/>
    <w:rsid w:val="001F468B"/>
    <w:rsid w:val="001F52A6"/>
    <w:rsid w:val="001F5B07"/>
    <w:rsid w:val="001F5BAB"/>
    <w:rsid w:val="00201C44"/>
    <w:rsid w:val="00202355"/>
    <w:rsid w:val="00202D8E"/>
    <w:rsid w:val="00203C76"/>
    <w:rsid w:val="00203EC2"/>
    <w:rsid w:val="00204C6F"/>
    <w:rsid w:val="00206D9A"/>
    <w:rsid w:val="002076B9"/>
    <w:rsid w:val="002114FD"/>
    <w:rsid w:val="00211CEA"/>
    <w:rsid w:val="0021377D"/>
    <w:rsid w:val="00214D58"/>
    <w:rsid w:val="00214DED"/>
    <w:rsid w:val="00216241"/>
    <w:rsid w:val="002162D9"/>
    <w:rsid w:val="002218C9"/>
    <w:rsid w:val="00221BDE"/>
    <w:rsid w:val="002251A3"/>
    <w:rsid w:val="002302C7"/>
    <w:rsid w:val="00230435"/>
    <w:rsid w:val="0023179D"/>
    <w:rsid w:val="0023216A"/>
    <w:rsid w:val="00232245"/>
    <w:rsid w:val="002323BE"/>
    <w:rsid w:val="00235004"/>
    <w:rsid w:val="0023578A"/>
    <w:rsid w:val="00235F9D"/>
    <w:rsid w:val="0023669F"/>
    <w:rsid w:val="00236BD1"/>
    <w:rsid w:val="00240941"/>
    <w:rsid w:val="002416C0"/>
    <w:rsid w:val="00241B1E"/>
    <w:rsid w:val="002433C8"/>
    <w:rsid w:val="002436B1"/>
    <w:rsid w:val="002436C4"/>
    <w:rsid w:val="00244A89"/>
    <w:rsid w:val="00244DD0"/>
    <w:rsid w:val="00245617"/>
    <w:rsid w:val="0024643C"/>
    <w:rsid w:val="00246E25"/>
    <w:rsid w:val="002472CF"/>
    <w:rsid w:val="002476E5"/>
    <w:rsid w:val="002500A4"/>
    <w:rsid w:val="0025094E"/>
    <w:rsid w:val="00252C79"/>
    <w:rsid w:val="0025313D"/>
    <w:rsid w:val="002573ED"/>
    <w:rsid w:val="0025752F"/>
    <w:rsid w:val="002579FF"/>
    <w:rsid w:val="002606E0"/>
    <w:rsid w:val="00260FEC"/>
    <w:rsid w:val="002621F4"/>
    <w:rsid w:val="0026518F"/>
    <w:rsid w:val="0026550D"/>
    <w:rsid w:val="002659D2"/>
    <w:rsid w:val="00265EBA"/>
    <w:rsid w:val="002662F4"/>
    <w:rsid w:val="0026672B"/>
    <w:rsid w:val="002667B0"/>
    <w:rsid w:val="00266C1D"/>
    <w:rsid w:val="00267B02"/>
    <w:rsid w:val="00270567"/>
    <w:rsid w:val="0027118A"/>
    <w:rsid w:val="00271CC5"/>
    <w:rsid w:val="002734B4"/>
    <w:rsid w:val="0027553F"/>
    <w:rsid w:val="00275863"/>
    <w:rsid w:val="002769C0"/>
    <w:rsid w:val="002774C8"/>
    <w:rsid w:val="00277A72"/>
    <w:rsid w:val="00277D41"/>
    <w:rsid w:val="00280FC9"/>
    <w:rsid w:val="002815BF"/>
    <w:rsid w:val="00281FA9"/>
    <w:rsid w:val="00282CD3"/>
    <w:rsid w:val="002839B6"/>
    <w:rsid w:val="00283DDF"/>
    <w:rsid w:val="00284C8E"/>
    <w:rsid w:val="0028672F"/>
    <w:rsid w:val="0028685F"/>
    <w:rsid w:val="00287675"/>
    <w:rsid w:val="00287EB0"/>
    <w:rsid w:val="002907FE"/>
    <w:rsid w:val="00291C8F"/>
    <w:rsid w:val="0029223F"/>
    <w:rsid w:val="002933BD"/>
    <w:rsid w:val="00293C9A"/>
    <w:rsid w:val="00294D33"/>
    <w:rsid w:val="00295A60"/>
    <w:rsid w:val="00295DC5"/>
    <w:rsid w:val="00295F5F"/>
    <w:rsid w:val="00296087"/>
    <w:rsid w:val="00296DE8"/>
    <w:rsid w:val="0029767A"/>
    <w:rsid w:val="002979A4"/>
    <w:rsid w:val="002A09EF"/>
    <w:rsid w:val="002A12B4"/>
    <w:rsid w:val="002A1410"/>
    <w:rsid w:val="002A1626"/>
    <w:rsid w:val="002A291E"/>
    <w:rsid w:val="002A5D63"/>
    <w:rsid w:val="002A5F33"/>
    <w:rsid w:val="002B0BEB"/>
    <w:rsid w:val="002B1062"/>
    <w:rsid w:val="002B1371"/>
    <w:rsid w:val="002B19F4"/>
    <w:rsid w:val="002B316E"/>
    <w:rsid w:val="002B3A3F"/>
    <w:rsid w:val="002B4345"/>
    <w:rsid w:val="002B4A2F"/>
    <w:rsid w:val="002B5543"/>
    <w:rsid w:val="002B6E6B"/>
    <w:rsid w:val="002C174A"/>
    <w:rsid w:val="002C23B7"/>
    <w:rsid w:val="002C25A5"/>
    <w:rsid w:val="002C32DA"/>
    <w:rsid w:val="002C47C2"/>
    <w:rsid w:val="002C777F"/>
    <w:rsid w:val="002D04B1"/>
    <w:rsid w:val="002D11C5"/>
    <w:rsid w:val="002D13C3"/>
    <w:rsid w:val="002D345B"/>
    <w:rsid w:val="002D3AFC"/>
    <w:rsid w:val="002D44B4"/>
    <w:rsid w:val="002D535C"/>
    <w:rsid w:val="002D6198"/>
    <w:rsid w:val="002D75DF"/>
    <w:rsid w:val="002E0837"/>
    <w:rsid w:val="002E1B1D"/>
    <w:rsid w:val="002E301B"/>
    <w:rsid w:val="002E3266"/>
    <w:rsid w:val="002E40F6"/>
    <w:rsid w:val="002E4162"/>
    <w:rsid w:val="002E441A"/>
    <w:rsid w:val="002E44EE"/>
    <w:rsid w:val="002E5118"/>
    <w:rsid w:val="002E5694"/>
    <w:rsid w:val="002E6503"/>
    <w:rsid w:val="002E6A77"/>
    <w:rsid w:val="002E7067"/>
    <w:rsid w:val="002F07C2"/>
    <w:rsid w:val="002F0936"/>
    <w:rsid w:val="002F0D52"/>
    <w:rsid w:val="002F1223"/>
    <w:rsid w:val="002F27F9"/>
    <w:rsid w:val="002F36DC"/>
    <w:rsid w:val="002F48E8"/>
    <w:rsid w:val="002F4A80"/>
    <w:rsid w:val="002F5248"/>
    <w:rsid w:val="002F542E"/>
    <w:rsid w:val="002F6733"/>
    <w:rsid w:val="00300C20"/>
    <w:rsid w:val="00300F88"/>
    <w:rsid w:val="00301DDB"/>
    <w:rsid w:val="003026F1"/>
    <w:rsid w:val="00303C2F"/>
    <w:rsid w:val="00303F0E"/>
    <w:rsid w:val="00305D33"/>
    <w:rsid w:val="00305FB4"/>
    <w:rsid w:val="00306147"/>
    <w:rsid w:val="0030742D"/>
    <w:rsid w:val="0031026B"/>
    <w:rsid w:val="003104E6"/>
    <w:rsid w:val="00311616"/>
    <w:rsid w:val="003127F7"/>
    <w:rsid w:val="00312C12"/>
    <w:rsid w:val="0031356F"/>
    <w:rsid w:val="0031485A"/>
    <w:rsid w:val="003157E6"/>
    <w:rsid w:val="00315ACA"/>
    <w:rsid w:val="00315EF0"/>
    <w:rsid w:val="00316CAC"/>
    <w:rsid w:val="0031727E"/>
    <w:rsid w:val="00317DC1"/>
    <w:rsid w:val="00320A2A"/>
    <w:rsid w:val="00320F9F"/>
    <w:rsid w:val="003219D6"/>
    <w:rsid w:val="00321B7D"/>
    <w:rsid w:val="00322BF1"/>
    <w:rsid w:val="00322D40"/>
    <w:rsid w:val="00324C8C"/>
    <w:rsid w:val="00325381"/>
    <w:rsid w:val="003273AF"/>
    <w:rsid w:val="0033003C"/>
    <w:rsid w:val="003300B7"/>
    <w:rsid w:val="00331E3D"/>
    <w:rsid w:val="0033340D"/>
    <w:rsid w:val="00335211"/>
    <w:rsid w:val="003355BB"/>
    <w:rsid w:val="00336228"/>
    <w:rsid w:val="00337C0E"/>
    <w:rsid w:val="003400F0"/>
    <w:rsid w:val="00340D53"/>
    <w:rsid w:val="00341639"/>
    <w:rsid w:val="00343923"/>
    <w:rsid w:val="0034422E"/>
    <w:rsid w:val="00344CDF"/>
    <w:rsid w:val="00344E9B"/>
    <w:rsid w:val="00344F5D"/>
    <w:rsid w:val="00350110"/>
    <w:rsid w:val="00351454"/>
    <w:rsid w:val="00352789"/>
    <w:rsid w:val="003537F3"/>
    <w:rsid w:val="00356B00"/>
    <w:rsid w:val="003573E8"/>
    <w:rsid w:val="00360903"/>
    <w:rsid w:val="00361658"/>
    <w:rsid w:val="00361FA3"/>
    <w:rsid w:val="003625E4"/>
    <w:rsid w:val="00362C2D"/>
    <w:rsid w:val="00364081"/>
    <w:rsid w:val="00365383"/>
    <w:rsid w:val="0036769B"/>
    <w:rsid w:val="00367D4D"/>
    <w:rsid w:val="00370045"/>
    <w:rsid w:val="00371F35"/>
    <w:rsid w:val="003728EE"/>
    <w:rsid w:val="00372FB5"/>
    <w:rsid w:val="003731D2"/>
    <w:rsid w:val="00373231"/>
    <w:rsid w:val="00373610"/>
    <w:rsid w:val="00373737"/>
    <w:rsid w:val="00373876"/>
    <w:rsid w:val="00374997"/>
    <w:rsid w:val="003756E9"/>
    <w:rsid w:val="00376656"/>
    <w:rsid w:val="0037674A"/>
    <w:rsid w:val="00376DF0"/>
    <w:rsid w:val="00377D36"/>
    <w:rsid w:val="00377FDF"/>
    <w:rsid w:val="00381CD6"/>
    <w:rsid w:val="00381F4B"/>
    <w:rsid w:val="003827D7"/>
    <w:rsid w:val="00383975"/>
    <w:rsid w:val="003848B2"/>
    <w:rsid w:val="0038571F"/>
    <w:rsid w:val="00385764"/>
    <w:rsid w:val="00385928"/>
    <w:rsid w:val="003862BD"/>
    <w:rsid w:val="00386E7F"/>
    <w:rsid w:val="00387131"/>
    <w:rsid w:val="00387702"/>
    <w:rsid w:val="0039190A"/>
    <w:rsid w:val="00391B9C"/>
    <w:rsid w:val="00392958"/>
    <w:rsid w:val="003929D5"/>
    <w:rsid w:val="00392DAC"/>
    <w:rsid w:val="00394508"/>
    <w:rsid w:val="0039552C"/>
    <w:rsid w:val="00395A32"/>
    <w:rsid w:val="00395BAD"/>
    <w:rsid w:val="00395CA8"/>
    <w:rsid w:val="00396D54"/>
    <w:rsid w:val="003A01F0"/>
    <w:rsid w:val="003A0A07"/>
    <w:rsid w:val="003A1719"/>
    <w:rsid w:val="003A1ABA"/>
    <w:rsid w:val="003A1D76"/>
    <w:rsid w:val="003A21F8"/>
    <w:rsid w:val="003A279A"/>
    <w:rsid w:val="003A287F"/>
    <w:rsid w:val="003A4033"/>
    <w:rsid w:val="003A45FD"/>
    <w:rsid w:val="003A4C64"/>
    <w:rsid w:val="003A5117"/>
    <w:rsid w:val="003A6468"/>
    <w:rsid w:val="003A7441"/>
    <w:rsid w:val="003A7856"/>
    <w:rsid w:val="003B026A"/>
    <w:rsid w:val="003B04F6"/>
    <w:rsid w:val="003B096D"/>
    <w:rsid w:val="003B0C07"/>
    <w:rsid w:val="003B12FD"/>
    <w:rsid w:val="003B14E4"/>
    <w:rsid w:val="003B1980"/>
    <w:rsid w:val="003B1C13"/>
    <w:rsid w:val="003B1EF2"/>
    <w:rsid w:val="003B377D"/>
    <w:rsid w:val="003B381C"/>
    <w:rsid w:val="003B3B4B"/>
    <w:rsid w:val="003B789F"/>
    <w:rsid w:val="003C00AB"/>
    <w:rsid w:val="003C0598"/>
    <w:rsid w:val="003C10BE"/>
    <w:rsid w:val="003C1232"/>
    <w:rsid w:val="003C1F30"/>
    <w:rsid w:val="003C358C"/>
    <w:rsid w:val="003C3F9D"/>
    <w:rsid w:val="003C50E0"/>
    <w:rsid w:val="003C5AB1"/>
    <w:rsid w:val="003C6021"/>
    <w:rsid w:val="003C633C"/>
    <w:rsid w:val="003C68CB"/>
    <w:rsid w:val="003C7483"/>
    <w:rsid w:val="003C7E9D"/>
    <w:rsid w:val="003D1519"/>
    <w:rsid w:val="003D229E"/>
    <w:rsid w:val="003D241D"/>
    <w:rsid w:val="003D2638"/>
    <w:rsid w:val="003D2799"/>
    <w:rsid w:val="003D291E"/>
    <w:rsid w:val="003D458A"/>
    <w:rsid w:val="003D4F0F"/>
    <w:rsid w:val="003D596B"/>
    <w:rsid w:val="003D5BCC"/>
    <w:rsid w:val="003D5D8A"/>
    <w:rsid w:val="003D6DC4"/>
    <w:rsid w:val="003D7D60"/>
    <w:rsid w:val="003E0D14"/>
    <w:rsid w:val="003E1C5A"/>
    <w:rsid w:val="003E486A"/>
    <w:rsid w:val="003E65F8"/>
    <w:rsid w:val="003E746F"/>
    <w:rsid w:val="003E75E5"/>
    <w:rsid w:val="003E76F5"/>
    <w:rsid w:val="003E7B35"/>
    <w:rsid w:val="003F1DED"/>
    <w:rsid w:val="003F3166"/>
    <w:rsid w:val="003F3C4A"/>
    <w:rsid w:val="003F564B"/>
    <w:rsid w:val="003F58D8"/>
    <w:rsid w:val="003F650A"/>
    <w:rsid w:val="003F6EC0"/>
    <w:rsid w:val="003F70A9"/>
    <w:rsid w:val="003F7BA4"/>
    <w:rsid w:val="003F7C28"/>
    <w:rsid w:val="00402792"/>
    <w:rsid w:val="00403CC7"/>
    <w:rsid w:val="004044BC"/>
    <w:rsid w:val="004059CD"/>
    <w:rsid w:val="0040654C"/>
    <w:rsid w:val="004069DC"/>
    <w:rsid w:val="004074DA"/>
    <w:rsid w:val="00407EB0"/>
    <w:rsid w:val="00410A33"/>
    <w:rsid w:val="00410CA7"/>
    <w:rsid w:val="0041107A"/>
    <w:rsid w:val="004110D1"/>
    <w:rsid w:val="00412E27"/>
    <w:rsid w:val="004138F5"/>
    <w:rsid w:val="00413B93"/>
    <w:rsid w:val="00414588"/>
    <w:rsid w:val="00414992"/>
    <w:rsid w:val="00414BE1"/>
    <w:rsid w:val="0041602F"/>
    <w:rsid w:val="00417399"/>
    <w:rsid w:val="00420235"/>
    <w:rsid w:val="00420F8E"/>
    <w:rsid w:val="00422610"/>
    <w:rsid w:val="00422960"/>
    <w:rsid w:val="00425C8D"/>
    <w:rsid w:val="004267BD"/>
    <w:rsid w:val="00426BC5"/>
    <w:rsid w:val="0043088B"/>
    <w:rsid w:val="004327C8"/>
    <w:rsid w:val="00432F29"/>
    <w:rsid w:val="00433AFD"/>
    <w:rsid w:val="004344FB"/>
    <w:rsid w:val="00434641"/>
    <w:rsid w:val="00434A52"/>
    <w:rsid w:val="004409D9"/>
    <w:rsid w:val="004413B0"/>
    <w:rsid w:val="00442B2A"/>
    <w:rsid w:val="00443960"/>
    <w:rsid w:val="00443975"/>
    <w:rsid w:val="00445C69"/>
    <w:rsid w:val="0044608D"/>
    <w:rsid w:val="00446450"/>
    <w:rsid w:val="0045156E"/>
    <w:rsid w:val="004531B1"/>
    <w:rsid w:val="004552DE"/>
    <w:rsid w:val="00455636"/>
    <w:rsid w:val="00455F36"/>
    <w:rsid w:val="0045613C"/>
    <w:rsid w:val="004567CE"/>
    <w:rsid w:val="0045794C"/>
    <w:rsid w:val="00460EEB"/>
    <w:rsid w:val="004615C8"/>
    <w:rsid w:val="004668BB"/>
    <w:rsid w:val="00467024"/>
    <w:rsid w:val="00467750"/>
    <w:rsid w:val="00467FFE"/>
    <w:rsid w:val="00470B6B"/>
    <w:rsid w:val="004717BC"/>
    <w:rsid w:val="0047395F"/>
    <w:rsid w:val="00474878"/>
    <w:rsid w:val="0047535A"/>
    <w:rsid w:val="0047543E"/>
    <w:rsid w:val="00475839"/>
    <w:rsid w:val="0047647E"/>
    <w:rsid w:val="00483595"/>
    <w:rsid w:val="004836EF"/>
    <w:rsid w:val="004876BD"/>
    <w:rsid w:val="0049155E"/>
    <w:rsid w:val="004930F0"/>
    <w:rsid w:val="00495060"/>
    <w:rsid w:val="004959C6"/>
    <w:rsid w:val="00495A5F"/>
    <w:rsid w:val="00495C95"/>
    <w:rsid w:val="00496880"/>
    <w:rsid w:val="00496A14"/>
    <w:rsid w:val="00496A2C"/>
    <w:rsid w:val="00496C5D"/>
    <w:rsid w:val="00497263"/>
    <w:rsid w:val="004A0844"/>
    <w:rsid w:val="004A15CB"/>
    <w:rsid w:val="004A35C2"/>
    <w:rsid w:val="004A420B"/>
    <w:rsid w:val="004A44D7"/>
    <w:rsid w:val="004A4752"/>
    <w:rsid w:val="004A5F1C"/>
    <w:rsid w:val="004A71F1"/>
    <w:rsid w:val="004A7413"/>
    <w:rsid w:val="004A779B"/>
    <w:rsid w:val="004B06F5"/>
    <w:rsid w:val="004B1EC7"/>
    <w:rsid w:val="004B31F6"/>
    <w:rsid w:val="004B444C"/>
    <w:rsid w:val="004B5A90"/>
    <w:rsid w:val="004B602E"/>
    <w:rsid w:val="004B66D1"/>
    <w:rsid w:val="004B692A"/>
    <w:rsid w:val="004C0E5E"/>
    <w:rsid w:val="004C13C3"/>
    <w:rsid w:val="004C2527"/>
    <w:rsid w:val="004C3760"/>
    <w:rsid w:val="004C48DC"/>
    <w:rsid w:val="004C79D4"/>
    <w:rsid w:val="004D131F"/>
    <w:rsid w:val="004D18C3"/>
    <w:rsid w:val="004D3CE2"/>
    <w:rsid w:val="004D4824"/>
    <w:rsid w:val="004D54E9"/>
    <w:rsid w:val="004D5963"/>
    <w:rsid w:val="004E14C3"/>
    <w:rsid w:val="004E249B"/>
    <w:rsid w:val="004E2D0B"/>
    <w:rsid w:val="004E510D"/>
    <w:rsid w:val="004E6BDF"/>
    <w:rsid w:val="004F0070"/>
    <w:rsid w:val="004F0893"/>
    <w:rsid w:val="004F103D"/>
    <w:rsid w:val="004F1957"/>
    <w:rsid w:val="004F1E40"/>
    <w:rsid w:val="004F302B"/>
    <w:rsid w:val="004F3444"/>
    <w:rsid w:val="004F3789"/>
    <w:rsid w:val="004F3A45"/>
    <w:rsid w:val="004F3BB4"/>
    <w:rsid w:val="004F51E7"/>
    <w:rsid w:val="004F6070"/>
    <w:rsid w:val="004F63EC"/>
    <w:rsid w:val="004F701A"/>
    <w:rsid w:val="004F7099"/>
    <w:rsid w:val="004F74DB"/>
    <w:rsid w:val="004F7784"/>
    <w:rsid w:val="004F7ED1"/>
    <w:rsid w:val="00502831"/>
    <w:rsid w:val="005029D9"/>
    <w:rsid w:val="00502F51"/>
    <w:rsid w:val="005036F1"/>
    <w:rsid w:val="00503701"/>
    <w:rsid w:val="005038AA"/>
    <w:rsid w:val="00504BAF"/>
    <w:rsid w:val="0050689B"/>
    <w:rsid w:val="00506AA7"/>
    <w:rsid w:val="00507739"/>
    <w:rsid w:val="00510B44"/>
    <w:rsid w:val="00513255"/>
    <w:rsid w:val="00513676"/>
    <w:rsid w:val="00513C2D"/>
    <w:rsid w:val="00513E50"/>
    <w:rsid w:val="00514B37"/>
    <w:rsid w:val="00515D5C"/>
    <w:rsid w:val="00516C4F"/>
    <w:rsid w:val="00517DC0"/>
    <w:rsid w:val="00520BAE"/>
    <w:rsid w:val="0052518C"/>
    <w:rsid w:val="00527D3F"/>
    <w:rsid w:val="005300E1"/>
    <w:rsid w:val="00532BAE"/>
    <w:rsid w:val="00535DB0"/>
    <w:rsid w:val="005360F7"/>
    <w:rsid w:val="0053623B"/>
    <w:rsid w:val="00537780"/>
    <w:rsid w:val="005428A5"/>
    <w:rsid w:val="00542D2A"/>
    <w:rsid w:val="005437A5"/>
    <w:rsid w:val="00543F65"/>
    <w:rsid w:val="005446AD"/>
    <w:rsid w:val="005455E9"/>
    <w:rsid w:val="00546211"/>
    <w:rsid w:val="0054668F"/>
    <w:rsid w:val="00547351"/>
    <w:rsid w:val="005474BD"/>
    <w:rsid w:val="00551CB6"/>
    <w:rsid w:val="0055227F"/>
    <w:rsid w:val="00553384"/>
    <w:rsid w:val="00556896"/>
    <w:rsid w:val="00556979"/>
    <w:rsid w:val="0055721E"/>
    <w:rsid w:val="00560995"/>
    <w:rsid w:val="0056110B"/>
    <w:rsid w:val="005628A4"/>
    <w:rsid w:val="00562CF0"/>
    <w:rsid w:val="00564278"/>
    <w:rsid w:val="00565AE4"/>
    <w:rsid w:val="005704D8"/>
    <w:rsid w:val="005706D7"/>
    <w:rsid w:val="005708D8"/>
    <w:rsid w:val="00571C4F"/>
    <w:rsid w:val="00572434"/>
    <w:rsid w:val="005727F3"/>
    <w:rsid w:val="0057319F"/>
    <w:rsid w:val="00574409"/>
    <w:rsid w:val="00574FE6"/>
    <w:rsid w:val="00575060"/>
    <w:rsid w:val="00575CAA"/>
    <w:rsid w:val="00576BBB"/>
    <w:rsid w:val="00576ED8"/>
    <w:rsid w:val="00576F49"/>
    <w:rsid w:val="00580A9C"/>
    <w:rsid w:val="00580D83"/>
    <w:rsid w:val="00581135"/>
    <w:rsid w:val="005817EA"/>
    <w:rsid w:val="0058255D"/>
    <w:rsid w:val="00582EB1"/>
    <w:rsid w:val="00583C63"/>
    <w:rsid w:val="0058410E"/>
    <w:rsid w:val="00585646"/>
    <w:rsid w:val="005859D4"/>
    <w:rsid w:val="00590081"/>
    <w:rsid w:val="005905EB"/>
    <w:rsid w:val="005926EB"/>
    <w:rsid w:val="00592A0B"/>
    <w:rsid w:val="00592A62"/>
    <w:rsid w:val="00592FF0"/>
    <w:rsid w:val="0059477C"/>
    <w:rsid w:val="0059602A"/>
    <w:rsid w:val="00596481"/>
    <w:rsid w:val="005A03B7"/>
    <w:rsid w:val="005A06D8"/>
    <w:rsid w:val="005A1063"/>
    <w:rsid w:val="005A2E6F"/>
    <w:rsid w:val="005A3253"/>
    <w:rsid w:val="005A3261"/>
    <w:rsid w:val="005A4015"/>
    <w:rsid w:val="005A46B5"/>
    <w:rsid w:val="005A55D1"/>
    <w:rsid w:val="005A55DE"/>
    <w:rsid w:val="005A5D71"/>
    <w:rsid w:val="005A60A5"/>
    <w:rsid w:val="005B0C95"/>
    <w:rsid w:val="005B2EFB"/>
    <w:rsid w:val="005B4A57"/>
    <w:rsid w:val="005B4E08"/>
    <w:rsid w:val="005B4FC4"/>
    <w:rsid w:val="005B5569"/>
    <w:rsid w:val="005B5738"/>
    <w:rsid w:val="005B666C"/>
    <w:rsid w:val="005B69DE"/>
    <w:rsid w:val="005B7779"/>
    <w:rsid w:val="005B7C0B"/>
    <w:rsid w:val="005B7D84"/>
    <w:rsid w:val="005C38CF"/>
    <w:rsid w:val="005C5A8A"/>
    <w:rsid w:val="005C6675"/>
    <w:rsid w:val="005C6AF6"/>
    <w:rsid w:val="005C6F1B"/>
    <w:rsid w:val="005C734E"/>
    <w:rsid w:val="005D0905"/>
    <w:rsid w:val="005D25F9"/>
    <w:rsid w:val="005D2725"/>
    <w:rsid w:val="005D3A3D"/>
    <w:rsid w:val="005D6527"/>
    <w:rsid w:val="005E005B"/>
    <w:rsid w:val="005E01C5"/>
    <w:rsid w:val="005E0B2F"/>
    <w:rsid w:val="005E19B3"/>
    <w:rsid w:val="005E22BC"/>
    <w:rsid w:val="005E2992"/>
    <w:rsid w:val="005E2E79"/>
    <w:rsid w:val="005E3A0A"/>
    <w:rsid w:val="005E3F56"/>
    <w:rsid w:val="005E54C1"/>
    <w:rsid w:val="005E569F"/>
    <w:rsid w:val="005E6F39"/>
    <w:rsid w:val="005F2152"/>
    <w:rsid w:val="005F3D96"/>
    <w:rsid w:val="005F4F9D"/>
    <w:rsid w:val="005F721A"/>
    <w:rsid w:val="006009F8"/>
    <w:rsid w:val="00601725"/>
    <w:rsid w:val="00601932"/>
    <w:rsid w:val="00602262"/>
    <w:rsid w:val="006048A6"/>
    <w:rsid w:val="00605A0E"/>
    <w:rsid w:val="00606189"/>
    <w:rsid w:val="0060654F"/>
    <w:rsid w:val="00606B1C"/>
    <w:rsid w:val="00606B82"/>
    <w:rsid w:val="006078D8"/>
    <w:rsid w:val="0061053A"/>
    <w:rsid w:val="006132DF"/>
    <w:rsid w:val="00616359"/>
    <w:rsid w:val="00616C6D"/>
    <w:rsid w:val="00620AA9"/>
    <w:rsid w:val="006216AB"/>
    <w:rsid w:val="00621C7C"/>
    <w:rsid w:val="00622381"/>
    <w:rsid w:val="006223AF"/>
    <w:rsid w:val="00623BD3"/>
    <w:rsid w:val="00624133"/>
    <w:rsid w:val="00627C06"/>
    <w:rsid w:val="00627C6E"/>
    <w:rsid w:val="00627EE3"/>
    <w:rsid w:val="00630199"/>
    <w:rsid w:val="006302FF"/>
    <w:rsid w:val="0063049B"/>
    <w:rsid w:val="00631787"/>
    <w:rsid w:val="00631F29"/>
    <w:rsid w:val="00633B19"/>
    <w:rsid w:val="00633E04"/>
    <w:rsid w:val="006342C3"/>
    <w:rsid w:val="00634453"/>
    <w:rsid w:val="00634501"/>
    <w:rsid w:val="00634C56"/>
    <w:rsid w:val="00635B20"/>
    <w:rsid w:val="006362C2"/>
    <w:rsid w:val="00636CC6"/>
    <w:rsid w:val="006416AD"/>
    <w:rsid w:val="006455B5"/>
    <w:rsid w:val="0064694F"/>
    <w:rsid w:val="00650B00"/>
    <w:rsid w:val="00650C1A"/>
    <w:rsid w:val="00650DDA"/>
    <w:rsid w:val="00651E74"/>
    <w:rsid w:val="006521D9"/>
    <w:rsid w:val="006537D5"/>
    <w:rsid w:val="00653FF5"/>
    <w:rsid w:val="00655F0E"/>
    <w:rsid w:val="006575A0"/>
    <w:rsid w:val="00660F8E"/>
    <w:rsid w:val="006611C9"/>
    <w:rsid w:val="00662538"/>
    <w:rsid w:val="006630CD"/>
    <w:rsid w:val="00663FFD"/>
    <w:rsid w:val="00664169"/>
    <w:rsid w:val="00664E6F"/>
    <w:rsid w:val="006663BB"/>
    <w:rsid w:val="006700ED"/>
    <w:rsid w:val="00672FFF"/>
    <w:rsid w:val="0067488C"/>
    <w:rsid w:val="006755C9"/>
    <w:rsid w:val="006761CE"/>
    <w:rsid w:val="00676975"/>
    <w:rsid w:val="00680388"/>
    <w:rsid w:val="00680B29"/>
    <w:rsid w:val="006812FB"/>
    <w:rsid w:val="00681439"/>
    <w:rsid w:val="006815DC"/>
    <w:rsid w:val="0068180F"/>
    <w:rsid w:val="00681CEA"/>
    <w:rsid w:val="00681E33"/>
    <w:rsid w:val="006824AB"/>
    <w:rsid w:val="00682E37"/>
    <w:rsid w:val="00683EF5"/>
    <w:rsid w:val="006842D7"/>
    <w:rsid w:val="006843A1"/>
    <w:rsid w:val="006849A3"/>
    <w:rsid w:val="006852DE"/>
    <w:rsid w:val="006863F1"/>
    <w:rsid w:val="0068739D"/>
    <w:rsid w:val="0069085D"/>
    <w:rsid w:val="006932EC"/>
    <w:rsid w:val="00694363"/>
    <w:rsid w:val="006957AA"/>
    <w:rsid w:val="0069674F"/>
    <w:rsid w:val="006970FC"/>
    <w:rsid w:val="00697823"/>
    <w:rsid w:val="006A0B32"/>
    <w:rsid w:val="006A1610"/>
    <w:rsid w:val="006A4F4E"/>
    <w:rsid w:val="006A5743"/>
    <w:rsid w:val="006A6041"/>
    <w:rsid w:val="006A634B"/>
    <w:rsid w:val="006B0716"/>
    <w:rsid w:val="006B12A5"/>
    <w:rsid w:val="006B15A0"/>
    <w:rsid w:val="006B17D8"/>
    <w:rsid w:val="006B2DEC"/>
    <w:rsid w:val="006B318B"/>
    <w:rsid w:val="006B369A"/>
    <w:rsid w:val="006B4673"/>
    <w:rsid w:val="006B4C01"/>
    <w:rsid w:val="006B6A15"/>
    <w:rsid w:val="006B74EC"/>
    <w:rsid w:val="006C1866"/>
    <w:rsid w:val="006C25CA"/>
    <w:rsid w:val="006C3DF7"/>
    <w:rsid w:val="006C4250"/>
    <w:rsid w:val="006C42B4"/>
    <w:rsid w:val="006C49B9"/>
    <w:rsid w:val="006C4A64"/>
    <w:rsid w:val="006C4B57"/>
    <w:rsid w:val="006C4C6F"/>
    <w:rsid w:val="006C56EC"/>
    <w:rsid w:val="006C5A14"/>
    <w:rsid w:val="006C6398"/>
    <w:rsid w:val="006C662F"/>
    <w:rsid w:val="006C7FDC"/>
    <w:rsid w:val="006D0861"/>
    <w:rsid w:val="006D1609"/>
    <w:rsid w:val="006D2234"/>
    <w:rsid w:val="006D3C04"/>
    <w:rsid w:val="006D564C"/>
    <w:rsid w:val="006D717A"/>
    <w:rsid w:val="006D7F7A"/>
    <w:rsid w:val="006E0BAC"/>
    <w:rsid w:val="006E1253"/>
    <w:rsid w:val="006E18BE"/>
    <w:rsid w:val="006E1EF4"/>
    <w:rsid w:val="006E2886"/>
    <w:rsid w:val="006E299B"/>
    <w:rsid w:val="006E2B7D"/>
    <w:rsid w:val="006E3E9B"/>
    <w:rsid w:val="006E4FC5"/>
    <w:rsid w:val="006E4FC8"/>
    <w:rsid w:val="006E733B"/>
    <w:rsid w:val="006E734D"/>
    <w:rsid w:val="006E7390"/>
    <w:rsid w:val="006F1356"/>
    <w:rsid w:val="006F1741"/>
    <w:rsid w:val="006F1B36"/>
    <w:rsid w:val="006F1E33"/>
    <w:rsid w:val="006F230F"/>
    <w:rsid w:val="006F25C5"/>
    <w:rsid w:val="006F2E11"/>
    <w:rsid w:val="006F3999"/>
    <w:rsid w:val="006F43AC"/>
    <w:rsid w:val="006F5B96"/>
    <w:rsid w:val="006F75E6"/>
    <w:rsid w:val="006F7649"/>
    <w:rsid w:val="006F7741"/>
    <w:rsid w:val="0070185A"/>
    <w:rsid w:val="007046E0"/>
    <w:rsid w:val="007050D4"/>
    <w:rsid w:val="00706370"/>
    <w:rsid w:val="00706DFB"/>
    <w:rsid w:val="007108F5"/>
    <w:rsid w:val="00710958"/>
    <w:rsid w:val="00713DE0"/>
    <w:rsid w:val="007141B2"/>
    <w:rsid w:val="0071480A"/>
    <w:rsid w:val="0071608A"/>
    <w:rsid w:val="00716AE1"/>
    <w:rsid w:val="00716EDC"/>
    <w:rsid w:val="00717E4E"/>
    <w:rsid w:val="00720F55"/>
    <w:rsid w:val="007215BF"/>
    <w:rsid w:val="00721D1C"/>
    <w:rsid w:val="00721E7B"/>
    <w:rsid w:val="007220D9"/>
    <w:rsid w:val="00722B3F"/>
    <w:rsid w:val="007234FF"/>
    <w:rsid w:val="00725F0B"/>
    <w:rsid w:val="00726908"/>
    <w:rsid w:val="007304CE"/>
    <w:rsid w:val="0073133B"/>
    <w:rsid w:val="007321C0"/>
    <w:rsid w:val="00732635"/>
    <w:rsid w:val="00732C6D"/>
    <w:rsid w:val="00734112"/>
    <w:rsid w:val="007356FD"/>
    <w:rsid w:val="00736052"/>
    <w:rsid w:val="00736E4A"/>
    <w:rsid w:val="00736F23"/>
    <w:rsid w:val="0074110E"/>
    <w:rsid w:val="0074115A"/>
    <w:rsid w:val="00741399"/>
    <w:rsid w:val="007426FB"/>
    <w:rsid w:val="007428D0"/>
    <w:rsid w:val="007430EB"/>
    <w:rsid w:val="007435DD"/>
    <w:rsid w:val="00745647"/>
    <w:rsid w:val="00745A9B"/>
    <w:rsid w:val="00746185"/>
    <w:rsid w:val="00746BBD"/>
    <w:rsid w:val="00747036"/>
    <w:rsid w:val="0074718F"/>
    <w:rsid w:val="007504FC"/>
    <w:rsid w:val="00752904"/>
    <w:rsid w:val="00752AB1"/>
    <w:rsid w:val="00753B1D"/>
    <w:rsid w:val="00754955"/>
    <w:rsid w:val="00754DCF"/>
    <w:rsid w:val="00755F51"/>
    <w:rsid w:val="00756BC9"/>
    <w:rsid w:val="007572E1"/>
    <w:rsid w:val="00761AC1"/>
    <w:rsid w:val="00761F46"/>
    <w:rsid w:val="0076371B"/>
    <w:rsid w:val="00763ED2"/>
    <w:rsid w:val="00764172"/>
    <w:rsid w:val="007664B0"/>
    <w:rsid w:val="00770A6E"/>
    <w:rsid w:val="0077225A"/>
    <w:rsid w:val="00772621"/>
    <w:rsid w:val="00773817"/>
    <w:rsid w:val="00774C05"/>
    <w:rsid w:val="00775DEA"/>
    <w:rsid w:val="00775EC7"/>
    <w:rsid w:val="00776353"/>
    <w:rsid w:val="00776E5A"/>
    <w:rsid w:val="00777635"/>
    <w:rsid w:val="00777731"/>
    <w:rsid w:val="007802D3"/>
    <w:rsid w:val="00780E54"/>
    <w:rsid w:val="007847C0"/>
    <w:rsid w:val="00786A0E"/>
    <w:rsid w:val="00790303"/>
    <w:rsid w:val="007916F4"/>
    <w:rsid w:val="00792C7E"/>
    <w:rsid w:val="0079319A"/>
    <w:rsid w:val="00793E8D"/>
    <w:rsid w:val="00796007"/>
    <w:rsid w:val="00796851"/>
    <w:rsid w:val="00796DA4"/>
    <w:rsid w:val="00796F99"/>
    <w:rsid w:val="007A0D48"/>
    <w:rsid w:val="007A1D98"/>
    <w:rsid w:val="007A1F47"/>
    <w:rsid w:val="007A2E7F"/>
    <w:rsid w:val="007A3697"/>
    <w:rsid w:val="007A5B31"/>
    <w:rsid w:val="007A5B86"/>
    <w:rsid w:val="007A5BAC"/>
    <w:rsid w:val="007A612F"/>
    <w:rsid w:val="007A6BB7"/>
    <w:rsid w:val="007B0410"/>
    <w:rsid w:val="007B0E7F"/>
    <w:rsid w:val="007B119F"/>
    <w:rsid w:val="007B1C8D"/>
    <w:rsid w:val="007B56B1"/>
    <w:rsid w:val="007B6882"/>
    <w:rsid w:val="007B7AB6"/>
    <w:rsid w:val="007C0AB7"/>
    <w:rsid w:val="007C109C"/>
    <w:rsid w:val="007C1323"/>
    <w:rsid w:val="007C773B"/>
    <w:rsid w:val="007C78E8"/>
    <w:rsid w:val="007D068E"/>
    <w:rsid w:val="007D200E"/>
    <w:rsid w:val="007D2160"/>
    <w:rsid w:val="007D2324"/>
    <w:rsid w:val="007D5031"/>
    <w:rsid w:val="007D5090"/>
    <w:rsid w:val="007D56A4"/>
    <w:rsid w:val="007D6AE2"/>
    <w:rsid w:val="007E02CB"/>
    <w:rsid w:val="007E04F2"/>
    <w:rsid w:val="007E19AF"/>
    <w:rsid w:val="007E1D07"/>
    <w:rsid w:val="007E391C"/>
    <w:rsid w:val="007E3DF6"/>
    <w:rsid w:val="007E42EB"/>
    <w:rsid w:val="007E5499"/>
    <w:rsid w:val="007E5E5C"/>
    <w:rsid w:val="007E623F"/>
    <w:rsid w:val="007E6612"/>
    <w:rsid w:val="007E6851"/>
    <w:rsid w:val="007F3ED8"/>
    <w:rsid w:val="007F40A1"/>
    <w:rsid w:val="007F4523"/>
    <w:rsid w:val="007F455F"/>
    <w:rsid w:val="0080004F"/>
    <w:rsid w:val="0080095B"/>
    <w:rsid w:val="00801855"/>
    <w:rsid w:val="008030B4"/>
    <w:rsid w:val="008043E0"/>
    <w:rsid w:val="00804A7E"/>
    <w:rsid w:val="00804DD2"/>
    <w:rsid w:val="00804DEE"/>
    <w:rsid w:val="008053D0"/>
    <w:rsid w:val="00805D6A"/>
    <w:rsid w:val="008063BB"/>
    <w:rsid w:val="008103D1"/>
    <w:rsid w:val="00810B84"/>
    <w:rsid w:val="00810D59"/>
    <w:rsid w:val="0081115D"/>
    <w:rsid w:val="00811642"/>
    <w:rsid w:val="008116BC"/>
    <w:rsid w:val="0081201A"/>
    <w:rsid w:val="00814367"/>
    <w:rsid w:val="008149A7"/>
    <w:rsid w:val="00814BA0"/>
    <w:rsid w:val="00817E01"/>
    <w:rsid w:val="008206C6"/>
    <w:rsid w:val="00821024"/>
    <w:rsid w:val="008211D2"/>
    <w:rsid w:val="0082378D"/>
    <w:rsid w:val="008264EC"/>
    <w:rsid w:val="00826A43"/>
    <w:rsid w:val="008270AC"/>
    <w:rsid w:val="00827D9F"/>
    <w:rsid w:val="0083028C"/>
    <w:rsid w:val="008310AA"/>
    <w:rsid w:val="00831F42"/>
    <w:rsid w:val="00833F29"/>
    <w:rsid w:val="008344F9"/>
    <w:rsid w:val="00836855"/>
    <w:rsid w:val="0083695C"/>
    <w:rsid w:val="00837C18"/>
    <w:rsid w:val="00841B36"/>
    <w:rsid w:val="00841BD6"/>
    <w:rsid w:val="00841C4E"/>
    <w:rsid w:val="008421FE"/>
    <w:rsid w:val="008425C3"/>
    <w:rsid w:val="00842C86"/>
    <w:rsid w:val="008468DD"/>
    <w:rsid w:val="0085069D"/>
    <w:rsid w:val="00852900"/>
    <w:rsid w:val="00854746"/>
    <w:rsid w:val="00854D85"/>
    <w:rsid w:val="0085587A"/>
    <w:rsid w:val="00855E64"/>
    <w:rsid w:val="00857432"/>
    <w:rsid w:val="008578DC"/>
    <w:rsid w:val="00857E3B"/>
    <w:rsid w:val="00857F87"/>
    <w:rsid w:val="008603F4"/>
    <w:rsid w:val="008606D8"/>
    <w:rsid w:val="00861951"/>
    <w:rsid w:val="008635FA"/>
    <w:rsid w:val="00863991"/>
    <w:rsid w:val="008649DC"/>
    <w:rsid w:val="0086545B"/>
    <w:rsid w:val="008661CB"/>
    <w:rsid w:val="00867A8E"/>
    <w:rsid w:val="00867DCF"/>
    <w:rsid w:val="00870AB4"/>
    <w:rsid w:val="00871B76"/>
    <w:rsid w:val="00873D87"/>
    <w:rsid w:val="00874483"/>
    <w:rsid w:val="00874823"/>
    <w:rsid w:val="00875576"/>
    <w:rsid w:val="008758ED"/>
    <w:rsid w:val="008759C5"/>
    <w:rsid w:val="0087638D"/>
    <w:rsid w:val="00877F6B"/>
    <w:rsid w:val="00877FA1"/>
    <w:rsid w:val="008804CA"/>
    <w:rsid w:val="00881485"/>
    <w:rsid w:val="00882751"/>
    <w:rsid w:val="0088449B"/>
    <w:rsid w:val="008844F4"/>
    <w:rsid w:val="008866B0"/>
    <w:rsid w:val="008868FA"/>
    <w:rsid w:val="00886C0B"/>
    <w:rsid w:val="00886F26"/>
    <w:rsid w:val="008874DD"/>
    <w:rsid w:val="00887754"/>
    <w:rsid w:val="00887978"/>
    <w:rsid w:val="008910A3"/>
    <w:rsid w:val="00891A3E"/>
    <w:rsid w:val="00891CD6"/>
    <w:rsid w:val="00892A71"/>
    <w:rsid w:val="008958BD"/>
    <w:rsid w:val="00896E9F"/>
    <w:rsid w:val="008A0C91"/>
    <w:rsid w:val="008A15B3"/>
    <w:rsid w:val="008A1B66"/>
    <w:rsid w:val="008A25BC"/>
    <w:rsid w:val="008A2986"/>
    <w:rsid w:val="008A29F0"/>
    <w:rsid w:val="008A2A34"/>
    <w:rsid w:val="008A3355"/>
    <w:rsid w:val="008A3642"/>
    <w:rsid w:val="008A4E69"/>
    <w:rsid w:val="008A57A4"/>
    <w:rsid w:val="008B0BFC"/>
    <w:rsid w:val="008B0F9F"/>
    <w:rsid w:val="008B1541"/>
    <w:rsid w:val="008B1962"/>
    <w:rsid w:val="008B2BA1"/>
    <w:rsid w:val="008B37A5"/>
    <w:rsid w:val="008B5C57"/>
    <w:rsid w:val="008B7C46"/>
    <w:rsid w:val="008C05E7"/>
    <w:rsid w:val="008C08BA"/>
    <w:rsid w:val="008C21B8"/>
    <w:rsid w:val="008C2B95"/>
    <w:rsid w:val="008C3CCA"/>
    <w:rsid w:val="008C4BDB"/>
    <w:rsid w:val="008C4D2A"/>
    <w:rsid w:val="008C4DAE"/>
    <w:rsid w:val="008C4E60"/>
    <w:rsid w:val="008C5B8B"/>
    <w:rsid w:val="008C5E2F"/>
    <w:rsid w:val="008C758C"/>
    <w:rsid w:val="008D06F0"/>
    <w:rsid w:val="008D1F36"/>
    <w:rsid w:val="008D2145"/>
    <w:rsid w:val="008D314E"/>
    <w:rsid w:val="008D3164"/>
    <w:rsid w:val="008D3D86"/>
    <w:rsid w:val="008D470C"/>
    <w:rsid w:val="008D4908"/>
    <w:rsid w:val="008D492C"/>
    <w:rsid w:val="008D49BA"/>
    <w:rsid w:val="008D6009"/>
    <w:rsid w:val="008D6DD9"/>
    <w:rsid w:val="008D74B3"/>
    <w:rsid w:val="008E2206"/>
    <w:rsid w:val="008E3177"/>
    <w:rsid w:val="008E3AF0"/>
    <w:rsid w:val="008E3D60"/>
    <w:rsid w:val="008E405B"/>
    <w:rsid w:val="008E4C0A"/>
    <w:rsid w:val="008E4E6F"/>
    <w:rsid w:val="008E52A3"/>
    <w:rsid w:val="008E5499"/>
    <w:rsid w:val="008E55D6"/>
    <w:rsid w:val="008E6DEE"/>
    <w:rsid w:val="008F1C83"/>
    <w:rsid w:val="008F6455"/>
    <w:rsid w:val="008F79B7"/>
    <w:rsid w:val="008F7EB4"/>
    <w:rsid w:val="00900C0A"/>
    <w:rsid w:val="00900DA9"/>
    <w:rsid w:val="00900FB1"/>
    <w:rsid w:val="00902CFF"/>
    <w:rsid w:val="009032B9"/>
    <w:rsid w:val="00903DC3"/>
    <w:rsid w:val="00904184"/>
    <w:rsid w:val="009049D2"/>
    <w:rsid w:val="0090575C"/>
    <w:rsid w:val="009075AF"/>
    <w:rsid w:val="00907800"/>
    <w:rsid w:val="00907BFE"/>
    <w:rsid w:val="0091043D"/>
    <w:rsid w:val="00912E16"/>
    <w:rsid w:val="00912EFC"/>
    <w:rsid w:val="00912F97"/>
    <w:rsid w:val="009134D2"/>
    <w:rsid w:val="00914367"/>
    <w:rsid w:val="009204AD"/>
    <w:rsid w:val="009232AF"/>
    <w:rsid w:val="00924351"/>
    <w:rsid w:val="00924695"/>
    <w:rsid w:val="00924B2C"/>
    <w:rsid w:val="00924FB1"/>
    <w:rsid w:val="00924FB6"/>
    <w:rsid w:val="00925D2A"/>
    <w:rsid w:val="00926789"/>
    <w:rsid w:val="009273CD"/>
    <w:rsid w:val="009301AC"/>
    <w:rsid w:val="0093063F"/>
    <w:rsid w:val="009309CA"/>
    <w:rsid w:val="0093178B"/>
    <w:rsid w:val="00931861"/>
    <w:rsid w:val="00932D5A"/>
    <w:rsid w:val="00932E74"/>
    <w:rsid w:val="00933539"/>
    <w:rsid w:val="00934F90"/>
    <w:rsid w:val="00936D1F"/>
    <w:rsid w:val="00937760"/>
    <w:rsid w:val="00937C8D"/>
    <w:rsid w:val="009402AF"/>
    <w:rsid w:val="009415A8"/>
    <w:rsid w:val="00941809"/>
    <w:rsid w:val="00941D73"/>
    <w:rsid w:val="00943021"/>
    <w:rsid w:val="00943666"/>
    <w:rsid w:val="00943AA0"/>
    <w:rsid w:val="00943D1B"/>
    <w:rsid w:val="009443E2"/>
    <w:rsid w:val="00944846"/>
    <w:rsid w:val="00945586"/>
    <w:rsid w:val="009469EB"/>
    <w:rsid w:val="00947C65"/>
    <w:rsid w:val="00950A15"/>
    <w:rsid w:val="00950ACC"/>
    <w:rsid w:val="00951360"/>
    <w:rsid w:val="00952DB0"/>
    <w:rsid w:val="00952E24"/>
    <w:rsid w:val="009539A0"/>
    <w:rsid w:val="00953BB1"/>
    <w:rsid w:val="00953CE6"/>
    <w:rsid w:val="00953DDF"/>
    <w:rsid w:val="0095452E"/>
    <w:rsid w:val="009554F0"/>
    <w:rsid w:val="0095558D"/>
    <w:rsid w:val="00956519"/>
    <w:rsid w:val="00960212"/>
    <w:rsid w:val="009602D3"/>
    <w:rsid w:val="0096070A"/>
    <w:rsid w:val="00960BA7"/>
    <w:rsid w:val="00960CAA"/>
    <w:rsid w:val="00960FD9"/>
    <w:rsid w:val="00961F9D"/>
    <w:rsid w:val="00964101"/>
    <w:rsid w:val="00965082"/>
    <w:rsid w:val="00965664"/>
    <w:rsid w:val="009660D5"/>
    <w:rsid w:val="00970DA2"/>
    <w:rsid w:val="00971E3B"/>
    <w:rsid w:val="009744EE"/>
    <w:rsid w:val="009754D5"/>
    <w:rsid w:val="00981775"/>
    <w:rsid w:val="0098211C"/>
    <w:rsid w:val="009826CE"/>
    <w:rsid w:val="009827B7"/>
    <w:rsid w:val="00982D92"/>
    <w:rsid w:val="00982E70"/>
    <w:rsid w:val="00985028"/>
    <w:rsid w:val="0099028D"/>
    <w:rsid w:val="00990876"/>
    <w:rsid w:val="00990926"/>
    <w:rsid w:val="00991AD2"/>
    <w:rsid w:val="009931B3"/>
    <w:rsid w:val="00994A32"/>
    <w:rsid w:val="00997922"/>
    <w:rsid w:val="009A165F"/>
    <w:rsid w:val="009A17DB"/>
    <w:rsid w:val="009A1E98"/>
    <w:rsid w:val="009A3A48"/>
    <w:rsid w:val="009A4666"/>
    <w:rsid w:val="009A48D4"/>
    <w:rsid w:val="009A4B8F"/>
    <w:rsid w:val="009A5123"/>
    <w:rsid w:val="009A535E"/>
    <w:rsid w:val="009A54A7"/>
    <w:rsid w:val="009A63A2"/>
    <w:rsid w:val="009A65A5"/>
    <w:rsid w:val="009A7412"/>
    <w:rsid w:val="009A7C6B"/>
    <w:rsid w:val="009B05EB"/>
    <w:rsid w:val="009B0F16"/>
    <w:rsid w:val="009B3B41"/>
    <w:rsid w:val="009B3D70"/>
    <w:rsid w:val="009B52B1"/>
    <w:rsid w:val="009B71D7"/>
    <w:rsid w:val="009B73B7"/>
    <w:rsid w:val="009C1467"/>
    <w:rsid w:val="009C34C2"/>
    <w:rsid w:val="009C39F7"/>
    <w:rsid w:val="009C3DAF"/>
    <w:rsid w:val="009C447D"/>
    <w:rsid w:val="009C51B1"/>
    <w:rsid w:val="009C53B4"/>
    <w:rsid w:val="009C644F"/>
    <w:rsid w:val="009C6B59"/>
    <w:rsid w:val="009C7DA1"/>
    <w:rsid w:val="009C7E40"/>
    <w:rsid w:val="009C7E50"/>
    <w:rsid w:val="009D0ADB"/>
    <w:rsid w:val="009D124B"/>
    <w:rsid w:val="009D153C"/>
    <w:rsid w:val="009D164B"/>
    <w:rsid w:val="009D18CF"/>
    <w:rsid w:val="009D1B99"/>
    <w:rsid w:val="009D2B3C"/>
    <w:rsid w:val="009D37C0"/>
    <w:rsid w:val="009D3842"/>
    <w:rsid w:val="009D47D2"/>
    <w:rsid w:val="009D76C8"/>
    <w:rsid w:val="009D7895"/>
    <w:rsid w:val="009D7F8B"/>
    <w:rsid w:val="009E14B9"/>
    <w:rsid w:val="009E22AA"/>
    <w:rsid w:val="009E2F54"/>
    <w:rsid w:val="009E3FFB"/>
    <w:rsid w:val="009E40BF"/>
    <w:rsid w:val="009E4325"/>
    <w:rsid w:val="009E4A1F"/>
    <w:rsid w:val="009E50AA"/>
    <w:rsid w:val="009E5ACF"/>
    <w:rsid w:val="009E6E2C"/>
    <w:rsid w:val="009E6EB4"/>
    <w:rsid w:val="009E70E2"/>
    <w:rsid w:val="009F07A3"/>
    <w:rsid w:val="009F0A86"/>
    <w:rsid w:val="009F222A"/>
    <w:rsid w:val="009F22EC"/>
    <w:rsid w:val="009F2B22"/>
    <w:rsid w:val="009F32A5"/>
    <w:rsid w:val="009F361D"/>
    <w:rsid w:val="009F631F"/>
    <w:rsid w:val="009F679C"/>
    <w:rsid w:val="00A00475"/>
    <w:rsid w:val="00A00753"/>
    <w:rsid w:val="00A00D5D"/>
    <w:rsid w:val="00A017CD"/>
    <w:rsid w:val="00A05DE2"/>
    <w:rsid w:val="00A07C2D"/>
    <w:rsid w:val="00A103A3"/>
    <w:rsid w:val="00A123C2"/>
    <w:rsid w:val="00A13107"/>
    <w:rsid w:val="00A138E1"/>
    <w:rsid w:val="00A13BBE"/>
    <w:rsid w:val="00A13C6D"/>
    <w:rsid w:val="00A14935"/>
    <w:rsid w:val="00A158DC"/>
    <w:rsid w:val="00A168C7"/>
    <w:rsid w:val="00A16BE3"/>
    <w:rsid w:val="00A1714B"/>
    <w:rsid w:val="00A17731"/>
    <w:rsid w:val="00A204B7"/>
    <w:rsid w:val="00A21DA7"/>
    <w:rsid w:val="00A23526"/>
    <w:rsid w:val="00A24B63"/>
    <w:rsid w:val="00A257C6"/>
    <w:rsid w:val="00A258FF"/>
    <w:rsid w:val="00A25E2A"/>
    <w:rsid w:val="00A268DD"/>
    <w:rsid w:val="00A3031E"/>
    <w:rsid w:val="00A30C1F"/>
    <w:rsid w:val="00A32B49"/>
    <w:rsid w:val="00A345CE"/>
    <w:rsid w:val="00A34941"/>
    <w:rsid w:val="00A36459"/>
    <w:rsid w:val="00A3684C"/>
    <w:rsid w:val="00A3764A"/>
    <w:rsid w:val="00A40541"/>
    <w:rsid w:val="00A40A9E"/>
    <w:rsid w:val="00A40EEB"/>
    <w:rsid w:val="00A4146D"/>
    <w:rsid w:val="00A436EA"/>
    <w:rsid w:val="00A442CE"/>
    <w:rsid w:val="00A45EAE"/>
    <w:rsid w:val="00A46677"/>
    <w:rsid w:val="00A467A2"/>
    <w:rsid w:val="00A51AD5"/>
    <w:rsid w:val="00A51F2F"/>
    <w:rsid w:val="00A52559"/>
    <w:rsid w:val="00A5455F"/>
    <w:rsid w:val="00A550B1"/>
    <w:rsid w:val="00A55F22"/>
    <w:rsid w:val="00A56594"/>
    <w:rsid w:val="00A56B21"/>
    <w:rsid w:val="00A6161D"/>
    <w:rsid w:val="00A61B37"/>
    <w:rsid w:val="00A62378"/>
    <w:rsid w:val="00A6309B"/>
    <w:rsid w:val="00A63988"/>
    <w:rsid w:val="00A653D1"/>
    <w:rsid w:val="00A65D9A"/>
    <w:rsid w:val="00A65F50"/>
    <w:rsid w:val="00A66223"/>
    <w:rsid w:val="00A67079"/>
    <w:rsid w:val="00A675ED"/>
    <w:rsid w:val="00A67A03"/>
    <w:rsid w:val="00A7183A"/>
    <w:rsid w:val="00A720B8"/>
    <w:rsid w:val="00A723AC"/>
    <w:rsid w:val="00A76FC4"/>
    <w:rsid w:val="00A7771E"/>
    <w:rsid w:val="00A8155C"/>
    <w:rsid w:val="00A81651"/>
    <w:rsid w:val="00A816D2"/>
    <w:rsid w:val="00A81915"/>
    <w:rsid w:val="00A81D48"/>
    <w:rsid w:val="00A83087"/>
    <w:rsid w:val="00A83BBD"/>
    <w:rsid w:val="00A84C58"/>
    <w:rsid w:val="00A85217"/>
    <w:rsid w:val="00A90D3F"/>
    <w:rsid w:val="00A91490"/>
    <w:rsid w:val="00A918DB"/>
    <w:rsid w:val="00A92C11"/>
    <w:rsid w:val="00A93022"/>
    <w:rsid w:val="00A940B2"/>
    <w:rsid w:val="00A94646"/>
    <w:rsid w:val="00A958C9"/>
    <w:rsid w:val="00A977F7"/>
    <w:rsid w:val="00A97960"/>
    <w:rsid w:val="00AA00DB"/>
    <w:rsid w:val="00AA020D"/>
    <w:rsid w:val="00AA0797"/>
    <w:rsid w:val="00AA0A6F"/>
    <w:rsid w:val="00AA13FA"/>
    <w:rsid w:val="00AA55E3"/>
    <w:rsid w:val="00AA66ED"/>
    <w:rsid w:val="00AB0A41"/>
    <w:rsid w:val="00AB16D2"/>
    <w:rsid w:val="00AB2ACD"/>
    <w:rsid w:val="00AB2FF3"/>
    <w:rsid w:val="00AB3D20"/>
    <w:rsid w:val="00AB3E05"/>
    <w:rsid w:val="00AB499C"/>
    <w:rsid w:val="00AB71EF"/>
    <w:rsid w:val="00AB7AD3"/>
    <w:rsid w:val="00AC26F9"/>
    <w:rsid w:val="00AC305B"/>
    <w:rsid w:val="00AC512D"/>
    <w:rsid w:val="00AC55B5"/>
    <w:rsid w:val="00AC6A98"/>
    <w:rsid w:val="00AC7258"/>
    <w:rsid w:val="00AC76AD"/>
    <w:rsid w:val="00AC7B5B"/>
    <w:rsid w:val="00AD32AA"/>
    <w:rsid w:val="00AD5019"/>
    <w:rsid w:val="00AD6615"/>
    <w:rsid w:val="00AE0AB6"/>
    <w:rsid w:val="00AE0C55"/>
    <w:rsid w:val="00AE1360"/>
    <w:rsid w:val="00AE18DB"/>
    <w:rsid w:val="00AE2C5D"/>
    <w:rsid w:val="00AE2D74"/>
    <w:rsid w:val="00AE30F4"/>
    <w:rsid w:val="00AE32B0"/>
    <w:rsid w:val="00AE5198"/>
    <w:rsid w:val="00AE6991"/>
    <w:rsid w:val="00AE6B98"/>
    <w:rsid w:val="00AE6E8E"/>
    <w:rsid w:val="00AE7473"/>
    <w:rsid w:val="00AE7DFF"/>
    <w:rsid w:val="00AF071B"/>
    <w:rsid w:val="00AF0B8D"/>
    <w:rsid w:val="00AF11F6"/>
    <w:rsid w:val="00AF171E"/>
    <w:rsid w:val="00AF2129"/>
    <w:rsid w:val="00AF2C07"/>
    <w:rsid w:val="00AF3F2F"/>
    <w:rsid w:val="00AF55E9"/>
    <w:rsid w:val="00AF596C"/>
    <w:rsid w:val="00AF5B22"/>
    <w:rsid w:val="00AF69CC"/>
    <w:rsid w:val="00AF71DA"/>
    <w:rsid w:val="00AF7679"/>
    <w:rsid w:val="00AF7F7E"/>
    <w:rsid w:val="00B01078"/>
    <w:rsid w:val="00B016FC"/>
    <w:rsid w:val="00B05479"/>
    <w:rsid w:val="00B056A7"/>
    <w:rsid w:val="00B06793"/>
    <w:rsid w:val="00B06BC3"/>
    <w:rsid w:val="00B0732A"/>
    <w:rsid w:val="00B10196"/>
    <w:rsid w:val="00B1051C"/>
    <w:rsid w:val="00B10C50"/>
    <w:rsid w:val="00B14B6D"/>
    <w:rsid w:val="00B15261"/>
    <w:rsid w:val="00B15C6F"/>
    <w:rsid w:val="00B20499"/>
    <w:rsid w:val="00B20AB1"/>
    <w:rsid w:val="00B22AF0"/>
    <w:rsid w:val="00B22D7D"/>
    <w:rsid w:val="00B22FDC"/>
    <w:rsid w:val="00B23B7E"/>
    <w:rsid w:val="00B24B61"/>
    <w:rsid w:val="00B24E50"/>
    <w:rsid w:val="00B25183"/>
    <w:rsid w:val="00B25EF5"/>
    <w:rsid w:val="00B26DD1"/>
    <w:rsid w:val="00B308D5"/>
    <w:rsid w:val="00B31971"/>
    <w:rsid w:val="00B32D4E"/>
    <w:rsid w:val="00B33F08"/>
    <w:rsid w:val="00B34A00"/>
    <w:rsid w:val="00B34F84"/>
    <w:rsid w:val="00B3577E"/>
    <w:rsid w:val="00B35F25"/>
    <w:rsid w:val="00B367A9"/>
    <w:rsid w:val="00B40064"/>
    <w:rsid w:val="00B4043B"/>
    <w:rsid w:val="00B40CD5"/>
    <w:rsid w:val="00B41DC8"/>
    <w:rsid w:val="00B4227B"/>
    <w:rsid w:val="00B427DF"/>
    <w:rsid w:val="00B42840"/>
    <w:rsid w:val="00B444BA"/>
    <w:rsid w:val="00B4578B"/>
    <w:rsid w:val="00B45C2E"/>
    <w:rsid w:val="00B45D51"/>
    <w:rsid w:val="00B46C5D"/>
    <w:rsid w:val="00B47EE9"/>
    <w:rsid w:val="00B50001"/>
    <w:rsid w:val="00B50BA7"/>
    <w:rsid w:val="00B523E0"/>
    <w:rsid w:val="00B5335F"/>
    <w:rsid w:val="00B542B9"/>
    <w:rsid w:val="00B559D9"/>
    <w:rsid w:val="00B56881"/>
    <w:rsid w:val="00B56E74"/>
    <w:rsid w:val="00B57192"/>
    <w:rsid w:val="00B57442"/>
    <w:rsid w:val="00B577E0"/>
    <w:rsid w:val="00B57EC8"/>
    <w:rsid w:val="00B6063C"/>
    <w:rsid w:val="00B610AE"/>
    <w:rsid w:val="00B613E0"/>
    <w:rsid w:val="00B63811"/>
    <w:rsid w:val="00B647C8"/>
    <w:rsid w:val="00B64846"/>
    <w:rsid w:val="00B657C7"/>
    <w:rsid w:val="00B663B7"/>
    <w:rsid w:val="00B6686F"/>
    <w:rsid w:val="00B66F10"/>
    <w:rsid w:val="00B6723A"/>
    <w:rsid w:val="00B67F91"/>
    <w:rsid w:val="00B722F7"/>
    <w:rsid w:val="00B7427E"/>
    <w:rsid w:val="00B751D1"/>
    <w:rsid w:val="00B75A9A"/>
    <w:rsid w:val="00B766E9"/>
    <w:rsid w:val="00B77879"/>
    <w:rsid w:val="00B77965"/>
    <w:rsid w:val="00B77E15"/>
    <w:rsid w:val="00B80EF3"/>
    <w:rsid w:val="00B817CF"/>
    <w:rsid w:val="00B81C56"/>
    <w:rsid w:val="00B82AEC"/>
    <w:rsid w:val="00B82DBF"/>
    <w:rsid w:val="00B840B6"/>
    <w:rsid w:val="00B86C60"/>
    <w:rsid w:val="00B9002E"/>
    <w:rsid w:val="00B905D7"/>
    <w:rsid w:val="00B92ACD"/>
    <w:rsid w:val="00B944B7"/>
    <w:rsid w:val="00B94C08"/>
    <w:rsid w:val="00B954E1"/>
    <w:rsid w:val="00B9560A"/>
    <w:rsid w:val="00B96485"/>
    <w:rsid w:val="00B969D7"/>
    <w:rsid w:val="00B97958"/>
    <w:rsid w:val="00B9799B"/>
    <w:rsid w:val="00B979D6"/>
    <w:rsid w:val="00BA0663"/>
    <w:rsid w:val="00BA28A5"/>
    <w:rsid w:val="00BA5721"/>
    <w:rsid w:val="00BA65E3"/>
    <w:rsid w:val="00BA669C"/>
    <w:rsid w:val="00BA6731"/>
    <w:rsid w:val="00BB0AC6"/>
    <w:rsid w:val="00BB0EE2"/>
    <w:rsid w:val="00BB110E"/>
    <w:rsid w:val="00BB24E0"/>
    <w:rsid w:val="00BB6C25"/>
    <w:rsid w:val="00BB7687"/>
    <w:rsid w:val="00BC2623"/>
    <w:rsid w:val="00BC2EFB"/>
    <w:rsid w:val="00BC4D4C"/>
    <w:rsid w:val="00BC5B99"/>
    <w:rsid w:val="00BC5D19"/>
    <w:rsid w:val="00BD03A7"/>
    <w:rsid w:val="00BD0543"/>
    <w:rsid w:val="00BD1871"/>
    <w:rsid w:val="00BD3320"/>
    <w:rsid w:val="00BD37D8"/>
    <w:rsid w:val="00BD4492"/>
    <w:rsid w:val="00BD4D90"/>
    <w:rsid w:val="00BD5502"/>
    <w:rsid w:val="00BD57C7"/>
    <w:rsid w:val="00BD6276"/>
    <w:rsid w:val="00BD65FF"/>
    <w:rsid w:val="00BD6A89"/>
    <w:rsid w:val="00BD7E5C"/>
    <w:rsid w:val="00BE3648"/>
    <w:rsid w:val="00BE414E"/>
    <w:rsid w:val="00BE5858"/>
    <w:rsid w:val="00BE63EF"/>
    <w:rsid w:val="00BE6FFB"/>
    <w:rsid w:val="00BE7158"/>
    <w:rsid w:val="00BF0091"/>
    <w:rsid w:val="00BF27DC"/>
    <w:rsid w:val="00BF4F8D"/>
    <w:rsid w:val="00BF55DB"/>
    <w:rsid w:val="00BF579D"/>
    <w:rsid w:val="00BF5A2D"/>
    <w:rsid w:val="00BF5C82"/>
    <w:rsid w:val="00BF6000"/>
    <w:rsid w:val="00BF7D9D"/>
    <w:rsid w:val="00C00693"/>
    <w:rsid w:val="00C00DD3"/>
    <w:rsid w:val="00C01438"/>
    <w:rsid w:val="00C01D74"/>
    <w:rsid w:val="00C029BC"/>
    <w:rsid w:val="00C04F2F"/>
    <w:rsid w:val="00C11076"/>
    <w:rsid w:val="00C11F5D"/>
    <w:rsid w:val="00C1221A"/>
    <w:rsid w:val="00C12295"/>
    <w:rsid w:val="00C12874"/>
    <w:rsid w:val="00C13385"/>
    <w:rsid w:val="00C137F2"/>
    <w:rsid w:val="00C13AA5"/>
    <w:rsid w:val="00C15503"/>
    <w:rsid w:val="00C21546"/>
    <w:rsid w:val="00C215FC"/>
    <w:rsid w:val="00C21DB5"/>
    <w:rsid w:val="00C21FB9"/>
    <w:rsid w:val="00C23D43"/>
    <w:rsid w:val="00C24590"/>
    <w:rsid w:val="00C24B52"/>
    <w:rsid w:val="00C24DDB"/>
    <w:rsid w:val="00C258F6"/>
    <w:rsid w:val="00C25BEF"/>
    <w:rsid w:val="00C2633D"/>
    <w:rsid w:val="00C27B08"/>
    <w:rsid w:val="00C27DC7"/>
    <w:rsid w:val="00C30170"/>
    <w:rsid w:val="00C317E0"/>
    <w:rsid w:val="00C3181A"/>
    <w:rsid w:val="00C35BAD"/>
    <w:rsid w:val="00C37460"/>
    <w:rsid w:val="00C40CA8"/>
    <w:rsid w:val="00C419BA"/>
    <w:rsid w:val="00C44699"/>
    <w:rsid w:val="00C46641"/>
    <w:rsid w:val="00C469DA"/>
    <w:rsid w:val="00C50041"/>
    <w:rsid w:val="00C5293D"/>
    <w:rsid w:val="00C53078"/>
    <w:rsid w:val="00C53F72"/>
    <w:rsid w:val="00C54378"/>
    <w:rsid w:val="00C55606"/>
    <w:rsid w:val="00C5564A"/>
    <w:rsid w:val="00C56715"/>
    <w:rsid w:val="00C567B5"/>
    <w:rsid w:val="00C56BA9"/>
    <w:rsid w:val="00C572E1"/>
    <w:rsid w:val="00C615FB"/>
    <w:rsid w:val="00C61693"/>
    <w:rsid w:val="00C638DA"/>
    <w:rsid w:val="00C64B79"/>
    <w:rsid w:val="00C653BB"/>
    <w:rsid w:val="00C65669"/>
    <w:rsid w:val="00C65EC4"/>
    <w:rsid w:val="00C668E7"/>
    <w:rsid w:val="00C67632"/>
    <w:rsid w:val="00C67B6A"/>
    <w:rsid w:val="00C71257"/>
    <w:rsid w:val="00C717CE"/>
    <w:rsid w:val="00C7249A"/>
    <w:rsid w:val="00C7254B"/>
    <w:rsid w:val="00C74492"/>
    <w:rsid w:val="00C74BC5"/>
    <w:rsid w:val="00C75215"/>
    <w:rsid w:val="00C811D4"/>
    <w:rsid w:val="00C820C3"/>
    <w:rsid w:val="00C82487"/>
    <w:rsid w:val="00C82CF3"/>
    <w:rsid w:val="00C83036"/>
    <w:rsid w:val="00C83753"/>
    <w:rsid w:val="00C84DDA"/>
    <w:rsid w:val="00C8513B"/>
    <w:rsid w:val="00C86BA3"/>
    <w:rsid w:val="00C921DD"/>
    <w:rsid w:val="00C94CDA"/>
    <w:rsid w:val="00C94D97"/>
    <w:rsid w:val="00C958AA"/>
    <w:rsid w:val="00C95F40"/>
    <w:rsid w:val="00C967CB"/>
    <w:rsid w:val="00C968DE"/>
    <w:rsid w:val="00C9754B"/>
    <w:rsid w:val="00CA1213"/>
    <w:rsid w:val="00CA158B"/>
    <w:rsid w:val="00CA189E"/>
    <w:rsid w:val="00CA45DE"/>
    <w:rsid w:val="00CA5703"/>
    <w:rsid w:val="00CA65DB"/>
    <w:rsid w:val="00CA67DA"/>
    <w:rsid w:val="00CA7074"/>
    <w:rsid w:val="00CA710F"/>
    <w:rsid w:val="00CB147E"/>
    <w:rsid w:val="00CB1BAE"/>
    <w:rsid w:val="00CB1BBF"/>
    <w:rsid w:val="00CB287A"/>
    <w:rsid w:val="00CB5EEE"/>
    <w:rsid w:val="00CB6B70"/>
    <w:rsid w:val="00CB7A9F"/>
    <w:rsid w:val="00CC080A"/>
    <w:rsid w:val="00CC0C7C"/>
    <w:rsid w:val="00CC14D5"/>
    <w:rsid w:val="00CC277D"/>
    <w:rsid w:val="00CC2C32"/>
    <w:rsid w:val="00CC459D"/>
    <w:rsid w:val="00CC46C4"/>
    <w:rsid w:val="00CC4CCD"/>
    <w:rsid w:val="00CC55C2"/>
    <w:rsid w:val="00CC5E97"/>
    <w:rsid w:val="00CC620E"/>
    <w:rsid w:val="00CD0166"/>
    <w:rsid w:val="00CD1C88"/>
    <w:rsid w:val="00CD2048"/>
    <w:rsid w:val="00CD258E"/>
    <w:rsid w:val="00CD45FD"/>
    <w:rsid w:val="00CD4D82"/>
    <w:rsid w:val="00CD5B81"/>
    <w:rsid w:val="00CD6D4B"/>
    <w:rsid w:val="00CE4FF7"/>
    <w:rsid w:val="00CE5524"/>
    <w:rsid w:val="00CE5FC8"/>
    <w:rsid w:val="00CE7089"/>
    <w:rsid w:val="00CF08B9"/>
    <w:rsid w:val="00CF1EDD"/>
    <w:rsid w:val="00CF2A26"/>
    <w:rsid w:val="00CF31DE"/>
    <w:rsid w:val="00CF3884"/>
    <w:rsid w:val="00CF3CE5"/>
    <w:rsid w:val="00CF3DD2"/>
    <w:rsid w:val="00CF3F14"/>
    <w:rsid w:val="00CF5C7B"/>
    <w:rsid w:val="00CF6BEC"/>
    <w:rsid w:val="00CF7424"/>
    <w:rsid w:val="00D00F28"/>
    <w:rsid w:val="00D01763"/>
    <w:rsid w:val="00D01DF3"/>
    <w:rsid w:val="00D03C61"/>
    <w:rsid w:val="00D045A6"/>
    <w:rsid w:val="00D04880"/>
    <w:rsid w:val="00D06091"/>
    <w:rsid w:val="00D07C03"/>
    <w:rsid w:val="00D07FF2"/>
    <w:rsid w:val="00D10013"/>
    <w:rsid w:val="00D1361A"/>
    <w:rsid w:val="00D138B2"/>
    <w:rsid w:val="00D1417D"/>
    <w:rsid w:val="00D142A2"/>
    <w:rsid w:val="00D1452F"/>
    <w:rsid w:val="00D14EC3"/>
    <w:rsid w:val="00D15205"/>
    <w:rsid w:val="00D15D1F"/>
    <w:rsid w:val="00D16F31"/>
    <w:rsid w:val="00D21F22"/>
    <w:rsid w:val="00D22376"/>
    <w:rsid w:val="00D223D3"/>
    <w:rsid w:val="00D25513"/>
    <w:rsid w:val="00D25ECE"/>
    <w:rsid w:val="00D25FC4"/>
    <w:rsid w:val="00D2650F"/>
    <w:rsid w:val="00D26B9C"/>
    <w:rsid w:val="00D2702C"/>
    <w:rsid w:val="00D307AA"/>
    <w:rsid w:val="00D313B8"/>
    <w:rsid w:val="00D31CAF"/>
    <w:rsid w:val="00D32044"/>
    <w:rsid w:val="00D3269C"/>
    <w:rsid w:val="00D32C05"/>
    <w:rsid w:val="00D33058"/>
    <w:rsid w:val="00D351CC"/>
    <w:rsid w:val="00D3529D"/>
    <w:rsid w:val="00D35385"/>
    <w:rsid w:val="00D370E8"/>
    <w:rsid w:val="00D40EE0"/>
    <w:rsid w:val="00D41706"/>
    <w:rsid w:val="00D425DE"/>
    <w:rsid w:val="00D439BA"/>
    <w:rsid w:val="00D4418B"/>
    <w:rsid w:val="00D447DC"/>
    <w:rsid w:val="00D45C4C"/>
    <w:rsid w:val="00D46E0D"/>
    <w:rsid w:val="00D50CFD"/>
    <w:rsid w:val="00D51620"/>
    <w:rsid w:val="00D5211E"/>
    <w:rsid w:val="00D52914"/>
    <w:rsid w:val="00D52E94"/>
    <w:rsid w:val="00D53301"/>
    <w:rsid w:val="00D53CD9"/>
    <w:rsid w:val="00D548F8"/>
    <w:rsid w:val="00D55AA3"/>
    <w:rsid w:val="00D55CAE"/>
    <w:rsid w:val="00D56272"/>
    <w:rsid w:val="00D5635C"/>
    <w:rsid w:val="00D57791"/>
    <w:rsid w:val="00D60168"/>
    <w:rsid w:val="00D601E0"/>
    <w:rsid w:val="00D61611"/>
    <w:rsid w:val="00D62EF0"/>
    <w:rsid w:val="00D63877"/>
    <w:rsid w:val="00D63BBD"/>
    <w:rsid w:val="00D661E0"/>
    <w:rsid w:val="00D672C8"/>
    <w:rsid w:val="00D67D8B"/>
    <w:rsid w:val="00D7073B"/>
    <w:rsid w:val="00D708D1"/>
    <w:rsid w:val="00D70A2A"/>
    <w:rsid w:val="00D71B19"/>
    <w:rsid w:val="00D72CA5"/>
    <w:rsid w:val="00D73098"/>
    <w:rsid w:val="00D767A1"/>
    <w:rsid w:val="00D800B1"/>
    <w:rsid w:val="00D80149"/>
    <w:rsid w:val="00D805CE"/>
    <w:rsid w:val="00D80FF2"/>
    <w:rsid w:val="00D812DB"/>
    <w:rsid w:val="00D823D1"/>
    <w:rsid w:val="00D82646"/>
    <w:rsid w:val="00D82684"/>
    <w:rsid w:val="00D82966"/>
    <w:rsid w:val="00D82DD6"/>
    <w:rsid w:val="00D83643"/>
    <w:rsid w:val="00D84764"/>
    <w:rsid w:val="00D84C79"/>
    <w:rsid w:val="00D84D52"/>
    <w:rsid w:val="00D858A0"/>
    <w:rsid w:val="00D86B4B"/>
    <w:rsid w:val="00D86F1C"/>
    <w:rsid w:val="00D87FA5"/>
    <w:rsid w:val="00D917EA"/>
    <w:rsid w:val="00D91F00"/>
    <w:rsid w:val="00D9220E"/>
    <w:rsid w:val="00D924AD"/>
    <w:rsid w:val="00D93BD1"/>
    <w:rsid w:val="00D95908"/>
    <w:rsid w:val="00D95DAF"/>
    <w:rsid w:val="00D96936"/>
    <w:rsid w:val="00D96ADD"/>
    <w:rsid w:val="00DA008F"/>
    <w:rsid w:val="00DA2403"/>
    <w:rsid w:val="00DA265D"/>
    <w:rsid w:val="00DA3560"/>
    <w:rsid w:val="00DA361F"/>
    <w:rsid w:val="00DA4A89"/>
    <w:rsid w:val="00DA4BF6"/>
    <w:rsid w:val="00DA5345"/>
    <w:rsid w:val="00DA6DEE"/>
    <w:rsid w:val="00DB0290"/>
    <w:rsid w:val="00DB032A"/>
    <w:rsid w:val="00DB05AA"/>
    <w:rsid w:val="00DB0C10"/>
    <w:rsid w:val="00DB1DAB"/>
    <w:rsid w:val="00DB2FE3"/>
    <w:rsid w:val="00DB4A80"/>
    <w:rsid w:val="00DB4CC1"/>
    <w:rsid w:val="00DB5D63"/>
    <w:rsid w:val="00DB6272"/>
    <w:rsid w:val="00DB7191"/>
    <w:rsid w:val="00DB75EB"/>
    <w:rsid w:val="00DB7DA0"/>
    <w:rsid w:val="00DC0199"/>
    <w:rsid w:val="00DC0DEF"/>
    <w:rsid w:val="00DC2AD6"/>
    <w:rsid w:val="00DC5595"/>
    <w:rsid w:val="00DC5B6E"/>
    <w:rsid w:val="00DC61BC"/>
    <w:rsid w:val="00DD07EB"/>
    <w:rsid w:val="00DD0C9F"/>
    <w:rsid w:val="00DD100F"/>
    <w:rsid w:val="00DD1BE6"/>
    <w:rsid w:val="00DD2F1C"/>
    <w:rsid w:val="00DD446F"/>
    <w:rsid w:val="00DD6160"/>
    <w:rsid w:val="00DD6495"/>
    <w:rsid w:val="00DD6778"/>
    <w:rsid w:val="00DD7D18"/>
    <w:rsid w:val="00DE02F3"/>
    <w:rsid w:val="00DE0502"/>
    <w:rsid w:val="00DE0613"/>
    <w:rsid w:val="00DE09F0"/>
    <w:rsid w:val="00DE1457"/>
    <w:rsid w:val="00DE2668"/>
    <w:rsid w:val="00DE272D"/>
    <w:rsid w:val="00DE400F"/>
    <w:rsid w:val="00DE404E"/>
    <w:rsid w:val="00DE5C50"/>
    <w:rsid w:val="00DE766F"/>
    <w:rsid w:val="00DF0CC9"/>
    <w:rsid w:val="00DF1860"/>
    <w:rsid w:val="00DF3008"/>
    <w:rsid w:val="00DF3938"/>
    <w:rsid w:val="00DF4F38"/>
    <w:rsid w:val="00DF52A6"/>
    <w:rsid w:val="00DF599B"/>
    <w:rsid w:val="00DF5DD2"/>
    <w:rsid w:val="00E00026"/>
    <w:rsid w:val="00E02485"/>
    <w:rsid w:val="00E026C0"/>
    <w:rsid w:val="00E02C2D"/>
    <w:rsid w:val="00E02D2D"/>
    <w:rsid w:val="00E0355D"/>
    <w:rsid w:val="00E05AF8"/>
    <w:rsid w:val="00E07ED4"/>
    <w:rsid w:val="00E101BC"/>
    <w:rsid w:val="00E11D22"/>
    <w:rsid w:val="00E11E47"/>
    <w:rsid w:val="00E133B2"/>
    <w:rsid w:val="00E14106"/>
    <w:rsid w:val="00E14AAA"/>
    <w:rsid w:val="00E15503"/>
    <w:rsid w:val="00E16534"/>
    <w:rsid w:val="00E16A3F"/>
    <w:rsid w:val="00E17DDC"/>
    <w:rsid w:val="00E20555"/>
    <w:rsid w:val="00E20E7E"/>
    <w:rsid w:val="00E21EF7"/>
    <w:rsid w:val="00E22BAD"/>
    <w:rsid w:val="00E22C68"/>
    <w:rsid w:val="00E232F3"/>
    <w:rsid w:val="00E26BB7"/>
    <w:rsid w:val="00E26BFE"/>
    <w:rsid w:val="00E27BDE"/>
    <w:rsid w:val="00E32951"/>
    <w:rsid w:val="00E32E07"/>
    <w:rsid w:val="00E338AB"/>
    <w:rsid w:val="00E348EA"/>
    <w:rsid w:val="00E3623C"/>
    <w:rsid w:val="00E36480"/>
    <w:rsid w:val="00E36618"/>
    <w:rsid w:val="00E36767"/>
    <w:rsid w:val="00E36F1E"/>
    <w:rsid w:val="00E37076"/>
    <w:rsid w:val="00E370E6"/>
    <w:rsid w:val="00E3764C"/>
    <w:rsid w:val="00E413BA"/>
    <w:rsid w:val="00E430F8"/>
    <w:rsid w:val="00E43739"/>
    <w:rsid w:val="00E453C9"/>
    <w:rsid w:val="00E45472"/>
    <w:rsid w:val="00E45A76"/>
    <w:rsid w:val="00E45DE8"/>
    <w:rsid w:val="00E463F9"/>
    <w:rsid w:val="00E46C2F"/>
    <w:rsid w:val="00E474D3"/>
    <w:rsid w:val="00E510F3"/>
    <w:rsid w:val="00E514F8"/>
    <w:rsid w:val="00E5301F"/>
    <w:rsid w:val="00E533AC"/>
    <w:rsid w:val="00E548B9"/>
    <w:rsid w:val="00E54FF7"/>
    <w:rsid w:val="00E5533A"/>
    <w:rsid w:val="00E55F24"/>
    <w:rsid w:val="00E56FAB"/>
    <w:rsid w:val="00E571F7"/>
    <w:rsid w:val="00E57E98"/>
    <w:rsid w:val="00E615B5"/>
    <w:rsid w:val="00E6196A"/>
    <w:rsid w:val="00E6227F"/>
    <w:rsid w:val="00E625AD"/>
    <w:rsid w:val="00E62C5B"/>
    <w:rsid w:val="00E630C5"/>
    <w:rsid w:val="00E63946"/>
    <w:rsid w:val="00E63A49"/>
    <w:rsid w:val="00E63DC3"/>
    <w:rsid w:val="00E66886"/>
    <w:rsid w:val="00E71317"/>
    <w:rsid w:val="00E7149F"/>
    <w:rsid w:val="00E715AD"/>
    <w:rsid w:val="00E72318"/>
    <w:rsid w:val="00E72712"/>
    <w:rsid w:val="00E73675"/>
    <w:rsid w:val="00E73DED"/>
    <w:rsid w:val="00E744B7"/>
    <w:rsid w:val="00E7547D"/>
    <w:rsid w:val="00E7624F"/>
    <w:rsid w:val="00E81CC3"/>
    <w:rsid w:val="00E822E2"/>
    <w:rsid w:val="00E83308"/>
    <w:rsid w:val="00E83C82"/>
    <w:rsid w:val="00E84D6D"/>
    <w:rsid w:val="00E85034"/>
    <w:rsid w:val="00E85339"/>
    <w:rsid w:val="00E85C23"/>
    <w:rsid w:val="00E877E3"/>
    <w:rsid w:val="00E911CA"/>
    <w:rsid w:val="00E91D62"/>
    <w:rsid w:val="00E92B38"/>
    <w:rsid w:val="00E936A0"/>
    <w:rsid w:val="00E93E2F"/>
    <w:rsid w:val="00E94491"/>
    <w:rsid w:val="00E95C7B"/>
    <w:rsid w:val="00E969A3"/>
    <w:rsid w:val="00E96B80"/>
    <w:rsid w:val="00E9758F"/>
    <w:rsid w:val="00EA026E"/>
    <w:rsid w:val="00EA030C"/>
    <w:rsid w:val="00EA2467"/>
    <w:rsid w:val="00EA2BE4"/>
    <w:rsid w:val="00EA47B4"/>
    <w:rsid w:val="00EA53B5"/>
    <w:rsid w:val="00EA7358"/>
    <w:rsid w:val="00EA7ADA"/>
    <w:rsid w:val="00EB2CEE"/>
    <w:rsid w:val="00EB2F63"/>
    <w:rsid w:val="00EB3583"/>
    <w:rsid w:val="00EB3EC9"/>
    <w:rsid w:val="00EB3ECC"/>
    <w:rsid w:val="00EB4D21"/>
    <w:rsid w:val="00EB512D"/>
    <w:rsid w:val="00EB51F3"/>
    <w:rsid w:val="00EB58B1"/>
    <w:rsid w:val="00EB5ADA"/>
    <w:rsid w:val="00EB5C51"/>
    <w:rsid w:val="00EB6438"/>
    <w:rsid w:val="00EB6C7E"/>
    <w:rsid w:val="00EC3680"/>
    <w:rsid w:val="00EC3C72"/>
    <w:rsid w:val="00EC4205"/>
    <w:rsid w:val="00EC44F5"/>
    <w:rsid w:val="00EC5C17"/>
    <w:rsid w:val="00EC632C"/>
    <w:rsid w:val="00EC669E"/>
    <w:rsid w:val="00ED0DD9"/>
    <w:rsid w:val="00ED1C7F"/>
    <w:rsid w:val="00ED2677"/>
    <w:rsid w:val="00ED2962"/>
    <w:rsid w:val="00ED2A8F"/>
    <w:rsid w:val="00ED2E8F"/>
    <w:rsid w:val="00ED3178"/>
    <w:rsid w:val="00ED3418"/>
    <w:rsid w:val="00ED4AE4"/>
    <w:rsid w:val="00ED5383"/>
    <w:rsid w:val="00ED595F"/>
    <w:rsid w:val="00ED66B5"/>
    <w:rsid w:val="00ED7CA6"/>
    <w:rsid w:val="00ED7CE1"/>
    <w:rsid w:val="00EE0299"/>
    <w:rsid w:val="00EE1F30"/>
    <w:rsid w:val="00EE24BA"/>
    <w:rsid w:val="00EE4014"/>
    <w:rsid w:val="00EE4050"/>
    <w:rsid w:val="00EE4C42"/>
    <w:rsid w:val="00EE4CC2"/>
    <w:rsid w:val="00EE59EA"/>
    <w:rsid w:val="00EE5CAF"/>
    <w:rsid w:val="00EE6D98"/>
    <w:rsid w:val="00EE700D"/>
    <w:rsid w:val="00EE7D0E"/>
    <w:rsid w:val="00EF0464"/>
    <w:rsid w:val="00EF1573"/>
    <w:rsid w:val="00EF1C6B"/>
    <w:rsid w:val="00EF1CAB"/>
    <w:rsid w:val="00EF1FDF"/>
    <w:rsid w:val="00EF2073"/>
    <w:rsid w:val="00EF22B8"/>
    <w:rsid w:val="00EF2E2E"/>
    <w:rsid w:val="00EF41C6"/>
    <w:rsid w:val="00EF4743"/>
    <w:rsid w:val="00EF5213"/>
    <w:rsid w:val="00EF5B76"/>
    <w:rsid w:val="00EF5C47"/>
    <w:rsid w:val="00EF7379"/>
    <w:rsid w:val="00EF7FC2"/>
    <w:rsid w:val="00F00F66"/>
    <w:rsid w:val="00F01460"/>
    <w:rsid w:val="00F03600"/>
    <w:rsid w:val="00F03BB6"/>
    <w:rsid w:val="00F04F43"/>
    <w:rsid w:val="00F0630F"/>
    <w:rsid w:val="00F10183"/>
    <w:rsid w:val="00F10457"/>
    <w:rsid w:val="00F10E9E"/>
    <w:rsid w:val="00F11FB0"/>
    <w:rsid w:val="00F1265D"/>
    <w:rsid w:val="00F12EC6"/>
    <w:rsid w:val="00F131C6"/>
    <w:rsid w:val="00F13210"/>
    <w:rsid w:val="00F14822"/>
    <w:rsid w:val="00F15CDC"/>
    <w:rsid w:val="00F1642F"/>
    <w:rsid w:val="00F17F2E"/>
    <w:rsid w:val="00F22D38"/>
    <w:rsid w:val="00F22F99"/>
    <w:rsid w:val="00F231B4"/>
    <w:rsid w:val="00F2324B"/>
    <w:rsid w:val="00F23426"/>
    <w:rsid w:val="00F246AB"/>
    <w:rsid w:val="00F24821"/>
    <w:rsid w:val="00F26460"/>
    <w:rsid w:val="00F26519"/>
    <w:rsid w:val="00F26D6D"/>
    <w:rsid w:val="00F2707E"/>
    <w:rsid w:val="00F27D70"/>
    <w:rsid w:val="00F3284E"/>
    <w:rsid w:val="00F34412"/>
    <w:rsid w:val="00F34D40"/>
    <w:rsid w:val="00F3505D"/>
    <w:rsid w:val="00F355CA"/>
    <w:rsid w:val="00F35E67"/>
    <w:rsid w:val="00F40C22"/>
    <w:rsid w:val="00F41280"/>
    <w:rsid w:val="00F4164C"/>
    <w:rsid w:val="00F41FF5"/>
    <w:rsid w:val="00F43328"/>
    <w:rsid w:val="00F44D10"/>
    <w:rsid w:val="00F45857"/>
    <w:rsid w:val="00F46138"/>
    <w:rsid w:val="00F466DD"/>
    <w:rsid w:val="00F46F54"/>
    <w:rsid w:val="00F501C6"/>
    <w:rsid w:val="00F516EF"/>
    <w:rsid w:val="00F51760"/>
    <w:rsid w:val="00F51B3F"/>
    <w:rsid w:val="00F51CA8"/>
    <w:rsid w:val="00F51EE1"/>
    <w:rsid w:val="00F53F29"/>
    <w:rsid w:val="00F545B6"/>
    <w:rsid w:val="00F54610"/>
    <w:rsid w:val="00F5566D"/>
    <w:rsid w:val="00F55F12"/>
    <w:rsid w:val="00F5637F"/>
    <w:rsid w:val="00F60D52"/>
    <w:rsid w:val="00F61263"/>
    <w:rsid w:val="00F613A4"/>
    <w:rsid w:val="00F61B25"/>
    <w:rsid w:val="00F61E77"/>
    <w:rsid w:val="00F62279"/>
    <w:rsid w:val="00F62321"/>
    <w:rsid w:val="00F629F3"/>
    <w:rsid w:val="00F63749"/>
    <w:rsid w:val="00F63FEC"/>
    <w:rsid w:val="00F6587F"/>
    <w:rsid w:val="00F667AC"/>
    <w:rsid w:val="00F70383"/>
    <w:rsid w:val="00F70D30"/>
    <w:rsid w:val="00F71038"/>
    <w:rsid w:val="00F71051"/>
    <w:rsid w:val="00F71213"/>
    <w:rsid w:val="00F72F2D"/>
    <w:rsid w:val="00F734B0"/>
    <w:rsid w:val="00F7380F"/>
    <w:rsid w:val="00F73B9D"/>
    <w:rsid w:val="00F73EC4"/>
    <w:rsid w:val="00F743A6"/>
    <w:rsid w:val="00F744DD"/>
    <w:rsid w:val="00F761FC"/>
    <w:rsid w:val="00F77DCF"/>
    <w:rsid w:val="00F80FE4"/>
    <w:rsid w:val="00F81F45"/>
    <w:rsid w:val="00F8270B"/>
    <w:rsid w:val="00F82F69"/>
    <w:rsid w:val="00F832EF"/>
    <w:rsid w:val="00F83536"/>
    <w:rsid w:val="00F83BBE"/>
    <w:rsid w:val="00F84203"/>
    <w:rsid w:val="00F84BEB"/>
    <w:rsid w:val="00F84C9E"/>
    <w:rsid w:val="00F85B17"/>
    <w:rsid w:val="00F87F8A"/>
    <w:rsid w:val="00F91FD5"/>
    <w:rsid w:val="00F9227D"/>
    <w:rsid w:val="00F92A5E"/>
    <w:rsid w:val="00F940EB"/>
    <w:rsid w:val="00F948F8"/>
    <w:rsid w:val="00F94D61"/>
    <w:rsid w:val="00F96431"/>
    <w:rsid w:val="00F96B8E"/>
    <w:rsid w:val="00F976F0"/>
    <w:rsid w:val="00F97B69"/>
    <w:rsid w:val="00FA0AD8"/>
    <w:rsid w:val="00FA0F99"/>
    <w:rsid w:val="00FA1239"/>
    <w:rsid w:val="00FA1FE1"/>
    <w:rsid w:val="00FA29EA"/>
    <w:rsid w:val="00FA2E67"/>
    <w:rsid w:val="00FA2EB5"/>
    <w:rsid w:val="00FA47DD"/>
    <w:rsid w:val="00FA56C2"/>
    <w:rsid w:val="00FA61BA"/>
    <w:rsid w:val="00FA740E"/>
    <w:rsid w:val="00FA7F17"/>
    <w:rsid w:val="00FB046D"/>
    <w:rsid w:val="00FB0A40"/>
    <w:rsid w:val="00FB379C"/>
    <w:rsid w:val="00FB3CDD"/>
    <w:rsid w:val="00FB7849"/>
    <w:rsid w:val="00FC018D"/>
    <w:rsid w:val="00FC02A9"/>
    <w:rsid w:val="00FC0E2E"/>
    <w:rsid w:val="00FC1259"/>
    <w:rsid w:val="00FC40AF"/>
    <w:rsid w:val="00FD00EE"/>
    <w:rsid w:val="00FD0325"/>
    <w:rsid w:val="00FD1009"/>
    <w:rsid w:val="00FD1441"/>
    <w:rsid w:val="00FD17AF"/>
    <w:rsid w:val="00FD3C31"/>
    <w:rsid w:val="00FD3F51"/>
    <w:rsid w:val="00FD4756"/>
    <w:rsid w:val="00FD5FF0"/>
    <w:rsid w:val="00FD6A0D"/>
    <w:rsid w:val="00FD79AA"/>
    <w:rsid w:val="00FE09E8"/>
    <w:rsid w:val="00FE1224"/>
    <w:rsid w:val="00FE3025"/>
    <w:rsid w:val="00FE35D3"/>
    <w:rsid w:val="00FE5AFF"/>
    <w:rsid w:val="00FE7D20"/>
    <w:rsid w:val="00FF0385"/>
    <w:rsid w:val="00FF1584"/>
    <w:rsid w:val="00FF1B32"/>
    <w:rsid w:val="00FF210D"/>
    <w:rsid w:val="00FF22CA"/>
    <w:rsid w:val="00FF2AE6"/>
    <w:rsid w:val="00FF2D17"/>
    <w:rsid w:val="00FF3CAD"/>
    <w:rsid w:val="00FF41C5"/>
    <w:rsid w:val="00FF4209"/>
    <w:rsid w:val="00FF627E"/>
    <w:rsid w:val="00FF681E"/>
    <w:rsid w:val="00FF6DC7"/>
    <w:rsid w:val="00FF6F7F"/>
    <w:rsid w:val="00FF7D30"/>
    <w:rsid w:val="00FF7D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colormru v:ext="edit" colors="#e49e82,#9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2E2E"/>
    <w:rPr>
      <w:sz w:val="24"/>
      <w:szCs w:val="24"/>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rsid w:val="00A7183A"/>
    <w:pPr>
      <w:keepNext/>
      <w:spacing w:before="240" w:after="60"/>
      <w:outlineLvl w:val="1"/>
    </w:pPr>
    <w:rPr>
      <w:rFonts w:ascii="Arial" w:hAnsi="Arial" w:cs="Arial"/>
      <w:b/>
      <w:bCs/>
      <w:i/>
      <w:iCs/>
      <w:sz w:val="28"/>
      <w:szCs w:val="28"/>
    </w:rPr>
  </w:style>
  <w:style w:type="paragraph" w:styleId="Titre4">
    <w:name w:val="heading 4"/>
    <w:basedOn w:val="Normal"/>
    <w:next w:val="Normal"/>
    <w:qFormat/>
    <w:pPr>
      <w:keepNext/>
      <w:ind w:left="71"/>
      <w:outlineLvl w:val="3"/>
    </w:pPr>
    <w:rPr>
      <w:b/>
      <w:bCs/>
      <w:szCs w:val="16"/>
    </w:rPr>
  </w:style>
  <w:style w:type="paragraph" w:styleId="Titre5">
    <w:name w:val="heading 5"/>
    <w:basedOn w:val="Normal"/>
    <w:next w:val="Normal"/>
    <w:qFormat/>
    <w:pPr>
      <w:keepNext/>
      <w:ind w:left="71"/>
      <w:jc w:val="center"/>
      <w:outlineLvl w:val="4"/>
    </w:pPr>
    <w:rPr>
      <w:b/>
      <w:bCs/>
      <w:szCs w:val="16"/>
    </w:rPr>
  </w:style>
  <w:style w:type="paragraph" w:styleId="Titre6">
    <w:name w:val="heading 6"/>
    <w:basedOn w:val="Normal"/>
    <w:next w:val="Normal"/>
    <w:qFormat/>
    <w:rsid w:val="00496C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Lienhypertexte">
    <w:name w:val="Hyperlink"/>
    <w:rPr>
      <w:color w:val="0000FF"/>
      <w:u w:val="single"/>
    </w:rPr>
  </w:style>
  <w:style w:type="paragraph" w:styleId="TM2">
    <w:name w:val="toc 2"/>
    <w:basedOn w:val="Normal"/>
    <w:next w:val="Normal"/>
    <w:autoRedefine/>
    <w:semiHidden/>
    <w:pPr>
      <w:ind w:left="240"/>
    </w:pPr>
  </w:style>
  <w:style w:type="paragraph" w:styleId="TM1">
    <w:name w:val="toc 1"/>
    <w:basedOn w:val="Normal"/>
    <w:next w:val="Normal"/>
    <w:autoRedefine/>
    <w:semiHidden/>
  </w:style>
  <w:style w:type="paragraph" w:styleId="Corpsdetexte2">
    <w:name w:val="Body Text 2"/>
    <w:basedOn w:val="Normal"/>
    <w:pPr>
      <w:spacing w:after="120" w:line="480" w:lineRule="auto"/>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Corpsdetexte3">
    <w:name w:val="Body Text 3"/>
    <w:basedOn w:val="Normal"/>
    <w:rPr>
      <w:color w:val="000000"/>
    </w:rPr>
  </w:style>
  <w:style w:type="table" w:styleId="Grilledutableau">
    <w:name w:val="Table Grid"/>
    <w:basedOn w:val="TableauNormal"/>
    <w:rsid w:val="00606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716EDC"/>
    <w:pPr>
      <w:tabs>
        <w:tab w:val="center" w:pos="4536"/>
        <w:tab w:val="right" w:pos="9072"/>
      </w:tabs>
    </w:pPr>
  </w:style>
  <w:style w:type="paragraph" w:customStyle="1" w:styleId="spip2">
    <w:name w:val="spip2"/>
    <w:basedOn w:val="Normal"/>
    <w:rsid w:val="009C1467"/>
    <w:pPr>
      <w:spacing w:after="200"/>
    </w:pPr>
  </w:style>
  <w:style w:type="paragraph" w:styleId="NormalWeb">
    <w:name w:val="Normal (Web)"/>
    <w:basedOn w:val="Normal"/>
    <w:uiPriority w:val="99"/>
    <w:rsid w:val="009C1467"/>
    <w:pPr>
      <w:spacing w:before="100" w:beforeAutospacing="1" w:after="100" w:afterAutospacing="1"/>
    </w:pPr>
  </w:style>
  <w:style w:type="character" w:styleId="lev">
    <w:name w:val="Strong"/>
    <w:uiPriority w:val="22"/>
    <w:qFormat/>
    <w:rsid w:val="009C1467"/>
    <w:rPr>
      <w:b/>
      <w:bCs/>
    </w:rPr>
  </w:style>
  <w:style w:type="character" w:customStyle="1" w:styleId="googqs-tidbit1">
    <w:name w:val="goog_qs-tidbit1"/>
    <w:rsid w:val="003C1F30"/>
    <w:rPr>
      <w:vanish w:val="0"/>
      <w:webHidden w:val="0"/>
      <w:specVanish w:val="0"/>
    </w:rPr>
  </w:style>
  <w:style w:type="paragraph" w:styleId="Textedebulles">
    <w:name w:val="Balloon Text"/>
    <w:basedOn w:val="Normal"/>
    <w:link w:val="TextedebullesCar"/>
    <w:rsid w:val="009826CE"/>
    <w:rPr>
      <w:rFonts w:ascii="Tahoma" w:hAnsi="Tahoma" w:cs="Tahoma"/>
      <w:sz w:val="16"/>
      <w:szCs w:val="16"/>
    </w:rPr>
  </w:style>
  <w:style w:type="character" w:customStyle="1" w:styleId="TextedebullesCar">
    <w:name w:val="Texte de bulles Car"/>
    <w:link w:val="Textedebulles"/>
    <w:rsid w:val="009826CE"/>
    <w:rPr>
      <w:rFonts w:ascii="Tahoma" w:hAnsi="Tahoma" w:cs="Tahoma"/>
      <w:sz w:val="16"/>
      <w:szCs w:val="16"/>
    </w:rPr>
  </w:style>
  <w:style w:type="character" w:customStyle="1" w:styleId="PieddepageCar">
    <w:name w:val="Pied de page Car"/>
    <w:link w:val="Pieddepage"/>
    <w:uiPriority w:val="99"/>
    <w:rsid w:val="002579FF"/>
    <w:rPr>
      <w:sz w:val="24"/>
      <w:szCs w:val="24"/>
    </w:rPr>
  </w:style>
  <w:style w:type="table" w:styleId="Tramecouleur-Accent2">
    <w:name w:val="Colorful Shading Accent 2"/>
    <w:basedOn w:val="TableauNormal"/>
    <w:uiPriority w:val="71"/>
    <w:rsid w:val="00295A60"/>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stefonce-Accent2">
    <w:name w:val="Dark List Accent 2"/>
    <w:basedOn w:val="TableauNormal"/>
    <w:uiPriority w:val="70"/>
    <w:rsid w:val="00295A60"/>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Grillecouleur-Accent2">
    <w:name w:val="Colorful Grid Accent 2"/>
    <w:basedOn w:val="TableauNormal"/>
    <w:uiPriority w:val="73"/>
    <w:rsid w:val="00295A60"/>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tecouleur-Accent2">
    <w:name w:val="Colorful List Accent 2"/>
    <w:basedOn w:val="TableauNormal"/>
    <w:uiPriority w:val="72"/>
    <w:rsid w:val="00295A60"/>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Grillemoyenne3-Accent2">
    <w:name w:val="Medium Grid 3 Accent 2"/>
    <w:basedOn w:val="TableauNormal"/>
    <w:uiPriority w:val="69"/>
    <w:rsid w:val="001F5B0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rillemoyenne1-Accent3">
    <w:name w:val="Medium Grid 1 Accent 3"/>
    <w:basedOn w:val="TableauNormal"/>
    <w:uiPriority w:val="67"/>
    <w:rsid w:val="0096410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efonce-Accent3">
    <w:name w:val="Dark List Accent 3"/>
    <w:basedOn w:val="TableauNormal"/>
    <w:uiPriority w:val="70"/>
    <w:rsid w:val="00964101"/>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ramecouleur-Accent3">
    <w:name w:val="Colorful Shading Accent 3"/>
    <w:basedOn w:val="TableauNormal"/>
    <w:uiPriority w:val="71"/>
    <w:rsid w:val="0096410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moyenne2-Accent3">
    <w:name w:val="Medium Shading 2 Accent 3"/>
    <w:basedOn w:val="TableauNormal"/>
    <w:uiPriority w:val="64"/>
    <w:rsid w:val="0096410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3">
    <w:name w:val="Medium Grid 3 Accent 3"/>
    <w:basedOn w:val="TableauNormal"/>
    <w:uiPriority w:val="69"/>
    <w:rsid w:val="0096410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eauliste2">
    <w:name w:val="Table List 2"/>
    <w:basedOn w:val="TableauNormal"/>
    <w:rsid w:val="006957A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moyenne3-Accent4">
    <w:name w:val="Medium Grid 3 Accent 4"/>
    <w:basedOn w:val="TableauNormal"/>
    <w:uiPriority w:val="69"/>
    <w:rsid w:val="009F3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1">
    <w:name w:val="Medium Grid 3 Accent 1"/>
    <w:basedOn w:val="TableauNormal"/>
    <w:uiPriority w:val="69"/>
    <w:rsid w:val="00D223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204C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1-Accent4">
    <w:name w:val="Medium Grid 1 Accent 4"/>
    <w:basedOn w:val="TableauNormal"/>
    <w:uiPriority w:val="67"/>
    <w:rsid w:val="000227D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2">
    <w:name w:val="Medium Grid 1 Accent 2"/>
    <w:basedOn w:val="TableauNormal"/>
    <w:uiPriority w:val="67"/>
    <w:rsid w:val="000227D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emoyenne1-Accent2">
    <w:name w:val="Medium List 1 Accent 2"/>
    <w:basedOn w:val="TableauNormal"/>
    <w:uiPriority w:val="65"/>
    <w:rsid w:val="000227D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4">
    <w:name w:val="Medium List 1 Accent 4"/>
    <w:basedOn w:val="TableauNormal"/>
    <w:uiPriority w:val="65"/>
    <w:rsid w:val="000227D8"/>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0227D8"/>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3">
    <w:name w:val="Medium List 1 Accent 3"/>
    <w:basedOn w:val="TableauNormal"/>
    <w:uiPriority w:val="65"/>
    <w:rsid w:val="000227D8"/>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Tramemoyenne1-Accent3">
    <w:name w:val="Medium Shading 1 Accent 3"/>
    <w:basedOn w:val="TableauNormal"/>
    <w:uiPriority w:val="63"/>
    <w:rsid w:val="00EE4CC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eclaire-Accent3">
    <w:name w:val="Light List Accent 3"/>
    <w:basedOn w:val="TableauNormal"/>
    <w:uiPriority w:val="61"/>
    <w:rsid w:val="00EE4CC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moyenne1-Accent1">
    <w:name w:val="Medium List 1 Accent 1"/>
    <w:basedOn w:val="TableauNormal"/>
    <w:uiPriority w:val="65"/>
    <w:rsid w:val="00EE4CC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1-Accent2">
    <w:name w:val="Medium Shading 1 Accent 2"/>
    <w:basedOn w:val="TableauNormal"/>
    <w:uiPriority w:val="63"/>
    <w:rsid w:val="002E40F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E744B7"/>
    <w:pPr>
      <w:ind w:left="720"/>
      <w:contextualSpacing/>
    </w:pPr>
  </w:style>
  <w:style w:type="character" w:customStyle="1" w:styleId="apple-converted-space">
    <w:name w:val="apple-converted-space"/>
    <w:basedOn w:val="Policepardfaut"/>
    <w:rsid w:val="00260FEC"/>
  </w:style>
  <w:style w:type="table" w:styleId="Grilleclaire-Accent4">
    <w:name w:val="Light Grid Accent 4"/>
    <w:basedOn w:val="TableauNormal"/>
    <w:uiPriority w:val="62"/>
    <w:rsid w:val="00D313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claire-Accent4">
    <w:name w:val="Light Shading Accent 4"/>
    <w:basedOn w:val="TableauNormal"/>
    <w:uiPriority w:val="60"/>
    <w:rsid w:val="00D313B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3">
    <w:name w:val="Light Shading Accent 3"/>
    <w:basedOn w:val="TableauNormal"/>
    <w:uiPriority w:val="60"/>
    <w:rsid w:val="00DB75E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2">
    <w:name w:val="Light Shading Accent 2"/>
    <w:basedOn w:val="TableauNormal"/>
    <w:uiPriority w:val="60"/>
    <w:rsid w:val="004138F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1">
    <w:name w:val="Light Shading Accent 1"/>
    <w:basedOn w:val="TableauNormal"/>
    <w:uiPriority w:val="60"/>
    <w:rsid w:val="00B41DC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nnesdetableau3">
    <w:name w:val="Table Columns 3"/>
    <w:basedOn w:val="TableauNormal"/>
    <w:rsid w:val="001E273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auliste8">
    <w:name w:val="Table List 8"/>
    <w:basedOn w:val="TableauNormal"/>
    <w:rsid w:val="001E273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rameclaire-Accent5">
    <w:name w:val="Light Shading Accent 5"/>
    <w:basedOn w:val="TableauNormal"/>
    <w:uiPriority w:val="60"/>
    <w:rsid w:val="0021377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2E2E"/>
    <w:rPr>
      <w:sz w:val="24"/>
      <w:szCs w:val="24"/>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rsid w:val="00A7183A"/>
    <w:pPr>
      <w:keepNext/>
      <w:spacing w:before="240" w:after="60"/>
      <w:outlineLvl w:val="1"/>
    </w:pPr>
    <w:rPr>
      <w:rFonts w:ascii="Arial" w:hAnsi="Arial" w:cs="Arial"/>
      <w:b/>
      <w:bCs/>
      <w:i/>
      <w:iCs/>
      <w:sz w:val="28"/>
      <w:szCs w:val="28"/>
    </w:rPr>
  </w:style>
  <w:style w:type="paragraph" w:styleId="Titre4">
    <w:name w:val="heading 4"/>
    <w:basedOn w:val="Normal"/>
    <w:next w:val="Normal"/>
    <w:qFormat/>
    <w:pPr>
      <w:keepNext/>
      <w:ind w:left="71"/>
      <w:outlineLvl w:val="3"/>
    </w:pPr>
    <w:rPr>
      <w:b/>
      <w:bCs/>
      <w:szCs w:val="16"/>
    </w:rPr>
  </w:style>
  <w:style w:type="paragraph" w:styleId="Titre5">
    <w:name w:val="heading 5"/>
    <w:basedOn w:val="Normal"/>
    <w:next w:val="Normal"/>
    <w:qFormat/>
    <w:pPr>
      <w:keepNext/>
      <w:ind w:left="71"/>
      <w:jc w:val="center"/>
      <w:outlineLvl w:val="4"/>
    </w:pPr>
    <w:rPr>
      <w:b/>
      <w:bCs/>
      <w:szCs w:val="16"/>
    </w:rPr>
  </w:style>
  <w:style w:type="paragraph" w:styleId="Titre6">
    <w:name w:val="heading 6"/>
    <w:basedOn w:val="Normal"/>
    <w:next w:val="Normal"/>
    <w:qFormat/>
    <w:rsid w:val="00496C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Lienhypertexte">
    <w:name w:val="Hyperlink"/>
    <w:rPr>
      <w:color w:val="0000FF"/>
      <w:u w:val="single"/>
    </w:rPr>
  </w:style>
  <w:style w:type="paragraph" w:styleId="TM2">
    <w:name w:val="toc 2"/>
    <w:basedOn w:val="Normal"/>
    <w:next w:val="Normal"/>
    <w:autoRedefine/>
    <w:semiHidden/>
    <w:pPr>
      <w:ind w:left="240"/>
    </w:pPr>
  </w:style>
  <w:style w:type="paragraph" w:styleId="TM1">
    <w:name w:val="toc 1"/>
    <w:basedOn w:val="Normal"/>
    <w:next w:val="Normal"/>
    <w:autoRedefine/>
    <w:semiHidden/>
  </w:style>
  <w:style w:type="paragraph" w:styleId="Corpsdetexte2">
    <w:name w:val="Body Text 2"/>
    <w:basedOn w:val="Normal"/>
    <w:pPr>
      <w:spacing w:after="120" w:line="480" w:lineRule="auto"/>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Corpsdetexte3">
    <w:name w:val="Body Text 3"/>
    <w:basedOn w:val="Normal"/>
    <w:rPr>
      <w:color w:val="000000"/>
    </w:rPr>
  </w:style>
  <w:style w:type="table" w:styleId="Grilledutableau">
    <w:name w:val="Table Grid"/>
    <w:basedOn w:val="TableauNormal"/>
    <w:rsid w:val="00606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716EDC"/>
    <w:pPr>
      <w:tabs>
        <w:tab w:val="center" w:pos="4536"/>
        <w:tab w:val="right" w:pos="9072"/>
      </w:tabs>
    </w:pPr>
  </w:style>
  <w:style w:type="paragraph" w:customStyle="1" w:styleId="spip2">
    <w:name w:val="spip2"/>
    <w:basedOn w:val="Normal"/>
    <w:rsid w:val="009C1467"/>
    <w:pPr>
      <w:spacing w:after="200"/>
    </w:pPr>
  </w:style>
  <w:style w:type="paragraph" w:styleId="NormalWeb">
    <w:name w:val="Normal (Web)"/>
    <w:basedOn w:val="Normal"/>
    <w:uiPriority w:val="99"/>
    <w:rsid w:val="009C1467"/>
    <w:pPr>
      <w:spacing w:before="100" w:beforeAutospacing="1" w:after="100" w:afterAutospacing="1"/>
    </w:pPr>
  </w:style>
  <w:style w:type="character" w:styleId="lev">
    <w:name w:val="Strong"/>
    <w:uiPriority w:val="22"/>
    <w:qFormat/>
    <w:rsid w:val="009C1467"/>
    <w:rPr>
      <w:b/>
      <w:bCs/>
    </w:rPr>
  </w:style>
  <w:style w:type="character" w:customStyle="1" w:styleId="googqs-tidbit1">
    <w:name w:val="goog_qs-tidbit1"/>
    <w:rsid w:val="003C1F30"/>
    <w:rPr>
      <w:vanish w:val="0"/>
      <w:webHidden w:val="0"/>
      <w:specVanish w:val="0"/>
    </w:rPr>
  </w:style>
  <w:style w:type="paragraph" w:styleId="Textedebulles">
    <w:name w:val="Balloon Text"/>
    <w:basedOn w:val="Normal"/>
    <w:link w:val="TextedebullesCar"/>
    <w:rsid w:val="009826CE"/>
    <w:rPr>
      <w:rFonts w:ascii="Tahoma" w:hAnsi="Tahoma" w:cs="Tahoma"/>
      <w:sz w:val="16"/>
      <w:szCs w:val="16"/>
    </w:rPr>
  </w:style>
  <w:style w:type="character" w:customStyle="1" w:styleId="TextedebullesCar">
    <w:name w:val="Texte de bulles Car"/>
    <w:link w:val="Textedebulles"/>
    <w:rsid w:val="009826CE"/>
    <w:rPr>
      <w:rFonts w:ascii="Tahoma" w:hAnsi="Tahoma" w:cs="Tahoma"/>
      <w:sz w:val="16"/>
      <w:szCs w:val="16"/>
    </w:rPr>
  </w:style>
  <w:style w:type="character" w:customStyle="1" w:styleId="PieddepageCar">
    <w:name w:val="Pied de page Car"/>
    <w:link w:val="Pieddepage"/>
    <w:uiPriority w:val="99"/>
    <w:rsid w:val="002579FF"/>
    <w:rPr>
      <w:sz w:val="24"/>
      <w:szCs w:val="24"/>
    </w:rPr>
  </w:style>
  <w:style w:type="table" w:styleId="Tramecouleur-Accent2">
    <w:name w:val="Colorful Shading Accent 2"/>
    <w:basedOn w:val="TableauNormal"/>
    <w:uiPriority w:val="71"/>
    <w:rsid w:val="00295A60"/>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stefonce-Accent2">
    <w:name w:val="Dark List Accent 2"/>
    <w:basedOn w:val="TableauNormal"/>
    <w:uiPriority w:val="70"/>
    <w:rsid w:val="00295A60"/>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Grillecouleur-Accent2">
    <w:name w:val="Colorful Grid Accent 2"/>
    <w:basedOn w:val="TableauNormal"/>
    <w:uiPriority w:val="73"/>
    <w:rsid w:val="00295A60"/>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tecouleur-Accent2">
    <w:name w:val="Colorful List Accent 2"/>
    <w:basedOn w:val="TableauNormal"/>
    <w:uiPriority w:val="72"/>
    <w:rsid w:val="00295A60"/>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Grillemoyenne3-Accent2">
    <w:name w:val="Medium Grid 3 Accent 2"/>
    <w:basedOn w:val="TableauNormal"/>
    <w:uiPriority w:val="69"/>
    <w:rsid w:val="001F5B0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rillemoyenne1-Accent3">
    <w:name w:val="Medium Grid 1 Accent 3"/>
    <w:basedOn w:val="TableauNormal"/>
    <w:uiPriority w:val="67"/>
    <w:rsid w:val="0096410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efonce-Accent3">
    <w:name w:val="Dark List Accent 3"/>
    <w:basedOn w:val="TableauNormal"/>
    <w:uiPriority w:val="70"/>
    <w:rsid w:val="00964101"/>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ramecouleur-Accent3">
    <w:name w:val="Colorful Shading Accent 3"/>
    <w:basedOn w:val="TableauNormal"/>
    <w:uiPriority w:val="71"/>
    <w:rsid w:val="0096410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moyenne2-Accent3">
    <w:name w:val="Medium Shading 2 Accent 3"/>
    <w:basedOn w:val="TableauNormal"/>
    <w:uiPriority w:val="64"/>
    <w:rsid w:val="0096410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3">
    <w:name w:val="Medium Grid 3 Accent 3"/>
    <w:basedOn w:val="TableauNormal"/>
    <w:uiPriority w:val="69"/>
    <w:rsid w:val="0096410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eauliste2">
    <w:name w:val="Table List 2"/>
    <w:basedOn w:val="TableauNormal"/>
    <w:rsid w:val="006957A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moyenne3-Accent4">
    <w:name w:val="Medium Grid 3 Accent 4"/>
    <w:basedOn w:val="TableauNormal"/>
    <w:uiPriority w:val="69"/>
    <w:rsid w:val="009F3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1">
    <w:name w:val="Medium Grid 3 Accent 1"/>
    <w:basedOn w:val="TableauNormal"/>
    <w:uiPriority w:val="69"/>
    <w:rsid w:val="00D223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204C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1-Accent4">
    <w:name w:val="Medium Grid 1 Accent 4"/>
    <w:basedOn w:val="TableauNormal"/>
    <w:uiPriority w:val="67"/>
    <w:rsid w:val="000227D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2">
    <w:name w:val="Medium Grid 1 Accent 2"/>
    <w:basedOn w:val="TableauNormal"/>
    <w:uiPriority w:val="67"/>
    <w:rsid w:val="000227D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emoyenne1-Accent2">
    <w:name w:val="Medium List 1 Accent 2"/>
    <w:basedOn w:val="TableauNormal"/>
    <w:uiPriority w:val="65"/>
    <w:rsid w:val="000227D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4">
    <w:name w:val="Medium List 1 Accent 4"/>
    <w:basedOn w:val="TableauNormal"/>
    <w:uiPriority w:val="65"/>
    <w:rsid w:val="000227D8"/>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0227D8"/>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3">
    <w:name w:val="Medium List 1 Accent 3"/>
    <w:basedOn w:val="TableauNormal"/>
    <w:uiPriority w:val="65"/>
    <w:rsid w:val="000227D8"/>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Tramemoyenne1-Accent3">
    <w:name w:val="Medium Shading 1 Accent 3"/>
    <w:basedOn w:val="TableauNormal"/>
    <w:uiPriority w:val="63"/>
    <w:rsid w:val="00EE4CC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eclaire-Accent3">
    <w:name w:val="Light List Accent 3"/>
    <w:basedOn w:val="TableauNormal"/>
    <w:uiPriority w:val="61"/>
    <w:rsid w:val="00EE4CC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moyenne1-Accent1">
    <w:name w:val="Medium List 1 Accent 1"/>
    <w:basedOn w:val="TableauNormal"/>
    <w:uiPriority w:val="65"/>
    <w:rsid w:val="00EE4CC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1-Accent2">
    <w:name w:val="Medium Shading 1 Accent 2"/>
    <w:basedOn w:val="TableauNormal"/>
    <w:uiPriority w:val="63"/>
    <w:rsid w:val="002E40F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E744B7"/>
    <w:pPr>
      <w:ind w:left="720"/>
      <w:contextualSpacing/>
    </w:pPr>
  </w:style>
  <w:style w:type="character" w:customStyle="1" w:styleId="apple-converted-space">
    <w:name w:val="apple-converted-space"/>
    <w:basedOn w:val="Policepardfaut"/>
    <w:rsid w:val="00260FEC"/>
  </w:style>
  <w:style w:type="table" w:styleId="Grilleclaire-Accent4">
    <w:name w:val="Light Grid Accent 4"/>
    <w:basedOn w:val="TableauNormal"/>
    <w:uiPriority w:val="62"/>
    <w:rsid w:val="00D313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claire-Accent4">
    <w:name w:val="Light Shading Accent 4"/>
    <w:basedOn w:val="TableauNormal"/>
    <w:uiPriority w:val="60"/>
    <w:rsid w:val="00D313B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3">
    <w:name w:val="Light Shading Accent 3"/>
    <w:basedOn w:val="TableauNormal"/>
    <w:uiPriority w:val="60"/>
    <w:rsid w:val="00DB75E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2">
    <w:name w:val="Light Shading Accent 2"/>
    <w:basedOn w:val="TableauNormal"/>
    <w:uiPriority w:val="60"/>
    <w:rsid w:val="004138F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1">
    <w:name w:val="Light Shading Accent 1"/>
    <w:basedOn w:val="TableauNormal"/>
    <w:uiPriority w:val="60"/>
    <w:rsid w:val="00B41DC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nnesdetableau3">
    <w:name w:val="Table Columns 3"/>
    <w:basedOn w:val="TableauNormal"/>
    <w:rsid w:val="001E273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auliste8">
    <w:name w:val="Table List 8"/>
    <w:basedOn w:val="TableauNormal"/>
    <w:rsid w:val="001E273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rameclaire-Accent5">
    <w:name w:val="Light Shading Accent 5"/>
    <w:basedOn w:val="TableauNormal"/>
    <w:uiPriority w:val="60"/>
    <w:rsid w:val="0021377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990">
      <w:bodyDiv w:val="1"/>
      <w:marLeft w:val="0"/>
      <w:marRight w:val="0"/>
      <w:marTop w:val="0"/>
      <w:marBottom w:val="0"/>
      <w:divBdr>
        <w:top w:val="none" w:sz="0" w:space="0" w:color="auto"/>
        <w:left w:val="none" w:sz="0" w:space="0" w:color="auto"/>
        <w:bottom w:val="none" w:sz="0" w:space="0" w:color="auto"/>
        <w:right w:val="none" w:sz="0" w:space="0" w:color="auto"/>
      </w:divBdr>
    </w:div>
    <w:div w:id="4867871">
      <w:bodyDiv w:val="1"/>
      <w:marLeft w:val="0"/>
      <w:marRight w:val="0"/>
      <w:marTop w:val="0"/>
      <w:marBottom w:val="0"/>
      <w:divBdr>
        <w:top w:val="none" w:sz="0" w:space="0" w:color="auto"/>
        <w:left w:val="none" w:sz="0" w:space="0" w:color="auto"/>
        <w:bottom w:val="none" w:sz="0" w:space="0" w:color="auto"/>
        <w:right w:val="none" w:sz="0" w:space="0" w:color="auto"/>
      </w:divBdr>
    </w:div>
    <w:div w:id="16588394">
      <w:bodyDiv w:val="1"/>
      <w:marLeft w:val="0"/>
      <w:marRight w:val="0"/>
      <w:marTop w:val="0"/>
      <w:marBottom w:val="0"/>
      <w:divBdr>
        <w:top w:val="none" w:sz="0" w:space="0" w:color="auto"/>
        <w:left w:val="none" w:sz="0" w:space="0" w:color="auto"/>
        <w:bottom w:val="none" w:sz="0" w:space="0" w:color="auto"/>
        <w:right w:val="none" w:sz="0" w:space="0" w:color="auto"/>
      </w:divBdr>
    </w:div>
    <w:div w:id="19087305">
      <w:bodyDiv w:val="1"/>
      <w:marLeft w:val="0"/>
      <w:marRight w:val="0"/>
      <w:marTop w:val="0"/>
      <w:marBottom w:val="0"/>
      <w:divBdr>
        <w:top w:val="none" w:sz="0" w:space="0" w:color="auto"/>
        <w:left w:val="none" w:sz="0" w:space="0" w:color="auto"/>
        <w:bottom w:val="none" w:sz="0" w:space="0" w:color="auto"/>
        <w:right w:val="none" w:sz="0" w:space="0" w:color="auto"/>
      </w:divBdr>
    </w:div>
    <w:div w:id="22173257">
      <w:bodyDiv w:val="1"/>
      <w:marLeft w:val="0"/>
      <w:marRight w:val="0"/>
      <w:marTop w:val="0"/>
      <w:marBottom w:val="0"/>
      <w:divBdr>
        <w:top w:val="none" w:sz="0" w:space="0" w:color="auto"/>
        <w:left w:val="none" w:sz="0" w:space="0" w:color="auto"/>
        <w:bottom w:val="none" w:sz="0" w:space="0" w:color="auto"/>
        <w:right w:val="none" w:sz="0" w:space="0" w:color="auto"/>
      </w:divBdr>
    </w:div>
    <w:div w:id="64030095">
      <w:bodyDiv w:val="1"/>
      <w:marLeft w:val="0"/>
      <w:marRight w:val="0"/>
      <w:marTop w:val="0"/>
      <w:marBottom w:val="0"/>
      <w:divBdr>
        <w:top w:val="none" w:sz="0" w:space="0" w:color="auto"/>
        <w:left w:val="none" w:sz="0" w:space="0" w:color="auto"/>
        <w:bottom w:val="none" w:sz="0" w:space="0" w:color="auto"/>
        <w:right w:val="none" w:sz="0" w:space="0" w:color="auto"/>
      </w:divBdr>
    </w:div>
    <w:div w:id="71053394">
      <w:bodyDiv w:val="1"/>
      <w:marLeft w:val="0"/>
      <w:marRight w:val="0"/>
      <w:marTop w:val="0"/>
      <w:marBottom w:val="0"/>
      <w:divBdr>
        <w:top w:val="none" w:sz="0" w:space="0" w:color="auto"/>
        <w:left w:val="none" w:sz="0" w:space="0" w:color="auto"/>
        <w:bottom w:val="none" w:sz="0" w:space="0" w:color="auto"/>
        <w:right w:val="none" w:sz="0" w:space="0" w:color="auto"/>
      </w:divBdr>
    </w:div>
    <w:div w:id="74131549">
      <w:bodyDiv w:val="1"/>
      <w:marLeft w:val="0"/>
      <w:marRight w:val="0"/>
      <w:marTop w:val="0"/>
      <w:marBottom w:val="0"/>
      <w:divBdr>
        <w:top w:val="none" w:sz="0" w:space="0" w:color="auto"/>
        <w:left w:val="none" w:sz="0" w:space="0" w:color="auto"/>
        <w:bottom w:val="none" w:sz="0" w:space="0" w:color="auto"/>
        <w:right w:val="none" w:sz="0" w:space="0" w:color="auto"/>
      </w:divBdr>
    </w:div>
    <w:div w:id="100416934">
      <w:bodyDiv w:val="1"/>
      <w:marLeft w:val="0"/>
      <w:marRight w:val="0"/>
      <w:marTop w:val="0"/>
      <w:marBottom w:val="0"/>
      <w:divBdr>
        <w:top w:val="none" w:sz="0" w:space="0" w:color="auto"/>
        <w:left w:val="none" w:sz="0" w:space="0" w:color="auto"/>
        <w:bottom w:val="none" w:sz="0" w:space="0" w:color="auto"/>
        <w:right w:val="none" w:sz="0" w:space="0" w:color="auto"/>
      </w:divBdr>
    </w:div>
    <w:div w:id="109403594">
      <w:bodyDiv w:val="1"/>
      <w:marLeft w:val="0"/>
      <w:marRight w:val="0"/>
      <w:marTop w:val="0"/>
      <w:marBottom w:val="0"/>
      <w:divBdr>
        <w:top w:val="none" w:sz="0" w:space="0" w:color="auto"/>
        <w:left w:val="none" w:sz="0" w:space="0" w:color="auto"/>
        <w:bottom w:val="none" w:sz="0" w:space="0" w:color="auto"/>
        <w:right w:val="none" w:sz="0" w:space="0" w:color="auto"/>
      </w:divBdr>
    </w:div>
    <w:div w:id="110976450">
      <w:bodyDiv w:val="1"/>
      <w:marLeft w:val="0"/>
      <w:marRight w:val="0"/>
      <w:marTop w:val="0"/>
      <w:marBottom w:val="0"/>
      <w:divBdr>
        <w:top w:val="none" w:sz="0" w:space="0" w:color="auto"/>
        <w:left w:val="none" w:sz="0" w:space="0" w:color="auto"/>
        <w:bottom w:val="none" w:sz="0" w:space="0" w:color="auto"/>
        <w:right w:val="none" w:sz="0" w:space="0" w:color="auto"/>
      </w:divBdr>
    </w:div>
    <w:div w:id="130488151">
      <w:bodyDiv w:val="1"/>
      <w:marLeft w:val="0"/>
      <w:marRight w:val="0"/>
      <w:marTop w:val="0"/>
      <w:marBottom w:val="0"/>
      <w:divBdr>
        <w:top w:val="none" w:sz="0" w:space="0" w:color="auto"/>
        <w:left w:val="none" w:sz="0" w:space="0" w:color="auto"/>
        <w:bottom w:val="none" w:sz="0" w:space="0" w:color="auto"/>
        <w:right w:val="none" w:sz="0" w:space="0" w:color="auto"/>
      </w:divBdr>
    </w:div>
    <w:div w:id="149105255">
      <w:bodyDiv w:val="1"/>
      <w:marLeft w:val="0"/>
      <w:marRight w:val="0"/>
      <w:marTop w:val="0"/>
      <w:marBottom w:val="0"/>
      <w:divBdr>
        <w:top w:val="none" w:sz="0" w:space="0" w:color="auto"/>
        <w:left w:val="none" w:sz="0" w:space="0" w:color="auto"/>
        <w:bottom w:val="none" w:sz="0" w:space="0" w:color="auto"/>
        <w:right w:val="none" w:sz="0" w:space="0" w:color="auto"/>
      </w:divBdr>
    </w:div>
    <w:div w:id="161700979">
      <w:bodyDiv w:val="1"/>
      <w:marLeft w:val="0"/>
      <w:marRight w:val="0"/>
      <w:marTop w:val="0"/>
      <w:marBottom w:val="0"/>
      <w:divBdr>
        <w:top w:val="none" w:sz="0" w:space="0" w:color="auto"/>
        <w:left w:val="none" w:sz="0" w:space="0" w:color="auto"/>
        <w:bottom w:val="none" w:sz="0" w:space="0" w:color="auto"/>
        <w:right w:val="none" w:sz="0" w:space="0" w:color="auto"/>
      </w:divBdr>
    </w:div>
    <w:div w:id="200940887">
      <w:bodyDiv w:val="1"/>
      <w:marLeft w:val="0"/>
      <w:marRight w:val="0"/>
      <w:marTop w:val="0"/>
      <w:marBottom w:val="0"/>
      <w:divBdr>
        <w:top w:val="none" w:sz="0" w:space="0" w:color="auto"/>
        <w:left w:val="none" w:sz="0" w:space="0" w:color="auto"/>
        <w:bottom w:val="none" w:sz="0" w:space="0" w:color="auto"/>
        <w:right w:val="none" w:sz="0" w:space="0" w:color="auto"/>
      </w:divBdr>
    </w:div>
    <w:div w:id="215626466">
      <w:bodyDiv w:val="1"/>
      <w:marLeft w:val="0"/>
      <w:marRight w:val="0"/>
      <w:marTop w:val="0"/>
      <w:marBottom w:val="0"/>
      <w:divBdr>
        <w:top w:val="none" w:sz="0" w:space="0" w:color="auto"/>
        <w:left w:val="none" w:sz="0" w:space="0" w:color="auto"/>
        <w:bottom w:val="none" w:sz="0" w:space="0" w:color="auto"/>
        <w:right w:val="none" w:sz="0" w:space="0" w:color="auto"/>
      </w:divBdr>
    </w:div>
    <w:div w:id="236519724">
      <w:bodyDiv w:val="1"/>
      <w:marLeft w:val="0"/>
      <w:marRight w:val="0"/>
      <w:marTop w:val="0"/>
      <w:marBottom w:val="0"/>
      <w:divBdr>
        <w:top w:val="none" w:sz="0" w:space="0" w:color="auto"/>
        <w:left w:val="none" w:sz="0" w:space="0" w:color="auto"/>
        <w:bottom w:val="none" w:sz="0" w:space="0" w:color="auto"/>
        <w:right w:val="none" w:sz="0" w:space="0" w:color="auto"/>
      </w:divBdr>
    </w:div>
    <w:div w:id="243078688">
      <w:bodyDiv w:val="1"/>
      <w:marLeft w:val="0"/>
      <w:marRight w:val="0"/>
      <w:marTop w:val="0"/>
      <w:marBottom w:val="0"/>
      <w:divBdr>
        <w:top w:val="none" w:sz="0" w:space="0" w:color="auto"/>
        <w:left w:val="none" w:sz="0" w:space="0" w:color="auto"/>
        <w:bottom w:val="none" w:sz="0" w:space="0" w:color="auto"/>
        <w:right w:val="none" w:sz="0" w:space="0" w:color="auto"/>
      </w:divBdr>
    </w:div>
    <w:div w:id="245309000">
      <w:bodyDiv w:val="1"/>
      <w:marLeft w:val="0"/>
      <w:marRight w:val="0"/>
      <w:marTop w:val="0"/>
      <w:marBottom w:val="0"/>
      <w:divBdr>
        <w:top w:val="none" w:sz="0" w:space="0" w:color="auto"/>
        <w:left w:val="none" w:sz="0" w:space="0" w:color="auto"/>
        <w:bottom w:val="none" w:sz="0" w:space="0" w:color="auto"/>
        <w:right w:val="none" w:sz="0" w:space="0" w:color="auto"/>
      </w:divBdr>
    </w:div>
    <w:div w:id="248540974">
      <w:bodyDiv w:val="1"/>
      <w:marLeft w:val="0"/>
      <w:marRight w:val="0"/>
      <w:marTop w:val="0"/>
      <w:marBottom w:val="0"/>
      <w:divBdr>
        <w:top w:val="none" w:sz="0" w:space="0" w:color="auto"/>
        <w:left w:val="none" w:sz="0" w:space="0" w:color="auto"/>
        <w:bottom w:val="none" w:sz="0" w:space="0" w:color="auto"/>
        <w:right w:val="none" w:sz="0" w:space="0" w:color="auto"/>
      </w:divBdr>
    </w:div>
    <w:div w:id="249235728">
      <w:bodyDiv w:val="1"/>
      <w:marLeft w:val="0"/>
      <w:marRight w:val="0"/>
      <w:marTop w:val="0"/>
      <w:marBottom w:val="0"/>
      <w:divBdr>
        <w:top w:val="none" w:sz="0" w:space="0" w:color="auto"/>
        <w:left w:val="none" w:sz="0" w:space="0" w:color="auto"/>
        <w:bottom w:val="none" w:sz="0" w:space="0" w:color="auto"/>
        <w:right w:val="none" w:sz="0" w:space="0" w:color="auto"/>
      </w:divBdr>
    </w:div>
    <w:div w:id="252320938">
      <w:bodyDiv w:val="1"/>
      <w:marLeft w:val="0"/>
      <w:marRight w:val="0"/>
      <w:marTop w:val="0"/>
      <w:marBottom w:val="0"/>
      <w:divBdr>
        <w:top w:val="none" w:sz="0" w:space="0" w:color="auto"/>
        <w:left w:val="none" w:sz="0" w:space="0" w:color="auto"/>
        <w:bottom w:val="none" w:sz="0" w:space="0" w:color="auto"/>
        <w:right w:val="none" w:sz="0" w:space="0" w:color="auto"/>
      </w:divBdr>
    </w:div>
    <w:div w:id="273639401">
      <w:bodyDiv w:val="1"/>
      <w:marLeft w:val="0"/>
      <w:marRight w:val="0"/>
      <w:marTop w:val="0"/>
      <w:marBottom w:val="0"/>
      <w:divBdr>
        <w:top w:val="none" w:sz="0" w:space="0" w:color="auto"/>
        <w:left w:val="none" w:sz="0" w:space="0" w:color="auto"/>
        <w:bottom w:val="none" w:sz="0" w:space="0" w:color="auto"/>
        <w:right w:val="none" w:sz="0" w:space="0" w:color="auto"/>
      </w:divBdr>
    </w:div>
    <w:div w:id="302737872">
      <w:bodyDiv w:val="1"/>
      <w:marLeft w:val="0"/>
      <w:marRight w:val="0"/>
      <w:marTop w:val="0"/>
      <w:marBottom w:val="0"/>
      <w:divBdr>
        <w:top w:val="none" w:sz="0" w:space="0" w:color="auto"/>
        <w:left w:val="none" w:sz="0" w:space="0" w:color="auto"/>
        <w:bottom w:val="none" w:sz="0" w:space="0" w:color="auto"/>
        <w:right w:val="none" w:sz="0" w:space="0" w:color="auto"/>
      </w:divBdr>
    </w:div>
    <w:div w:id="318972141">
      <w:bodyDiv w:val="1"/>
      <w:marLeft w:val="0"/>
      <w:marRight w:val="0"/>
      <w:marTop w:val="0"/>
      <w:marBottom w:val="0"/>
      <w:divBdr>
        <w:top w:val="none" w:sz="0" w:space="0" w:color="auto"/>
        <w:left w:val="none" w:sz="0" w:space="0" w:color="auto"/>
        <w:bottom w:val="none" w:sz="0" w:space="0" w:color="auto"/>
        <w:right w:val="none" w:sz="0" w:space="0" w:color="auto"/>
      </w:divBdr>
    </w:div>
    <w:div w:id="344328961">
      <w:bodyDiv w:val="1"/>
      <w:marLeft w:val="0"/>
      <w:marRight w:val="0"/>
      <w:marTop w:val="0"/>
      <w:marBottom w:val="0"/>
      <w:divBdr>
        <w:top w:val="none" w:sz="0" w:space="0" w:color="auto"/>
        <w:left w:val="none" w:sz="0" w:space="0" w:color="auto"/>
        <w:bottom w:val="none" w:sz="0" w:space="0" w:color="auto"/>
        <w:right w:val="none" w:sz="0" w:space="0" w:color="auto"/>
      </w:divBdr>
    </w:div>
    <w:div w:id="362748033">
      <w:bodyDiv w:val="1"/>
      <w:marLeft w:val="0"/>
      <w:marRight w:val="0"/>
      <w:marTop w:val="0"/>
      <w:marBottom w:val="0"/>
      <w:divBdr>
        <w:top w:val="none" w:sz="0" w:space="0" w:color="auto"/>
        <w:left w:val="none" w:sz="0" w:space="0" w:color="auto"/>
        <w:bottom w:val="none" w:sz="0" w:space="0" w:color="auto"/>
        <w:right w:val="none" w:sz="0" w:space="0" w:color="auto"/>
      </w:divBdr>
    </w:div>
    <w:div w:id="372508987">
      <w:bodyDiv w:val="1"/>
      <w:marLeft w:val="0"/>
      <w:marRight w:val="0"/>
      <w:marTop w:val="0"/>
      <w:marBottom w:val="0"/>
      <w:divBdr>
        <w:top w:val="none" w:sz="0" w:space="0" w:color="auto"/>
        <w:left w:val="none" w:sz="0" w:space="0" w:color="auto"/>
        <w:bottom w:val="none" w:sz="0" w:space="0" w:color="auto"/>
        <w:right w:val="none" w:sz="0" w:space="0" w:color="auto"/>
      </w:divBdr>
    </w:div>
    <w:div w:id="394742520">
      <w:bodyDiv w:val="1"/>
      <w:marLeft w:val="0"/>
      <w:marRight w:val="0"/>
      <w:marTop w:val="0"/>
      <w:marBottom w:val="0"/>
      <w:divBdr>
        <w:top w:val="none" w:sz="0" w:space="0" w:color="auto"/>
        <w:left w:val="none" w:sz="0" w:space="0" w:color="auto"/>
        <w:bottom w:val="none" w:sz="0" w:space="0" w:color="auto"/>
        <w:right w:val="none" w:sz="0" w:space="0" w:color="auto"/>
      </w:divBdr>
    </w:div>
    <w:div w:id="395513323">
      <w:bodyDiv w:val="1"/>
      <w:marLeft w:val="0"/>
      <w:marRight w:val="0"/>
      <w:marTop w:val="0"/>
      <w:marBottom w:val="0"/>
      <w:divBdr>
        <w:top w:val="none" w:sz="0" w:space="0" w:color="auto"/>
        <w:left w:val="none" w:sz="0" w:space="0" w:color="auto"/>
        <w:bottom w:val="none" w:sz="0" w:space="0" w:color="auto"/>
        <w:right w:val="none" w:sz="0" w:space="0" w:color="auto"/>
      </w:divBdr>
    </w:div>
    <w:div w:id="410739154">
      <w:bodyDiv w:val="1"/>
      <w:marLeft w:val="0"/>
      <w:marRight w:val="0"/>
      <w:marTop w:val="0"/>
      <w:marBottom w:val="0"/>
      <w:divBdr>
        <w:top w:val="none" w:sz="0" w:space="0" w:color="auto"/>
        <w:left w:val="none" w:sz="0" w:space="0" w:color="auto"/>
        <w:bottom w:val="none" w:sz="0" w:space="0" w:color="auto"/>
        <w:right w:val="none" w:sz="0" w:space="0" w:color="auto"/>
      </w:divBdr>
    </w:div>
    <w:div w:id="439960549">
      <w:bodyDiv w:val="1"/>
      <w:marLeft w:val="0"/>
      <w:marRight w:val="0"/>
      <w:marTop w:val="0"/>
      <w:marBottom w:val="0"/>
      <w:divBdr>
        <w:top w:val="none" w:sz="0" w:space="0" w:color="auto"/>
        <w:left w:val="none" w:sz="0" w:space="0" w:color="auto"/>
        <w:bottom w:val="none" w:sz="0" w:space="0" w:color="auto"/>
        <w:right w:val="none" w:sz="0" w:space="0" w:color="auto"/>
      </w:divBdr>
    </w:div>
    <w:div w:id="452943696">
      <w:bodyDiv w:val="1"/>
      <w:marLeft w:val="0"/>
      <w:marRight w:val="0"/>
      <w:marTop w:val="0"/>
      <w:marBottom w:val="0"/>
      <w:divBdr>
        <w:top w:val="none" w:sz="0" w:space="0" w:color="auto"/>
        <w:left w:val="none" w:sz="0" w:space="0" w:color="auto"/>
        <w:bottom w:val="none" w:sz="0" w:space="0" w:color="auto"/>
        <w:right w:val="none" w:sz="0" w:space="0" w:color="auto"/>
      </w:divBdr>
    </w:div>
    <w:div w:id="467019910">
      <w:bodyDiv w:val="1"/>
      <w:marLeft w:val="0"/>
      <w:marRight w:val="0"/>
      <w:marTop w:val="0"/>
      <w:marBottom w:val="0"/>
      <w:divBdr>
        <w:top w:val="none" w:sz="0" w:space="0" w:color="auto"/>
        <w:left w:val="none" w:sz="0" w:space="0" w:color="auto"/>
        <w:bottom w:val="none" w:sz="0" w:space="0" w:color="auto"/>
        <w:right w:val="none" w:sz="0" w:space="0" w:color="auto"/>
      </w:divBdr>
    </w:div>
    <w:div w:id="467823415">
      <w:bodyDiv w:val="1"/>
      <w:marLeft w:val="0"/>
      <w:marRight w:val="0"/>
      <w:marTop w:val="0"/>
      <w:marBottom w:val="0"/>
      <w:divBdr>
        <w:top w:val="none" w:sz="0" w:space="0" w:color="auto"/>
        <w:left w:val="none" w:sz="0" w:space="0" w:color="auto"/>
        <w:bottom w:val="none" w:sz="0" w:space="0" w:color="auto"/>
        <w:right w:val="none" w:sz="0" w:space="0" w:color="auto"/>
      </w:divBdr>
    </w:div>
    <w:div w:id="470905489">
      <w:bodyDiv w:val="1"/>
      <w:marLeft w:val="0"/>
      <w:marRight w:val="0"/>
      <w:marTop w:val="0"/>
      <w:marBottom w:val="0"/>
      <w:divBdr>
        <w:top w:val="none" w:sz="0" w:space="0" w:color="auto"/>
        <w:left w:val="none" w:sz="0" w:space="0" w:color="auto"/>
        <w:bottom w:val="none" w:sz="0" w:space="0" w:color="auto"/>
        <w:right w:val="none" w:sz="0" w:space="0" w:color="auto"/>
      </w:divBdr>
      <w:divsChild>
        <w:div w:id="1486782287">
          <w:marLeft w:val="0"/>
          <w:marRight w:val="0"/>
          <w:marTop w:val="0"/>
          <w:marBottom w:val="0"/>
          <w:divBdr>
            <w:top w:val="none" w:sz="0" w:space="0" w:color="auto"/>
            <w:left w:val="none" w:sz="0" w:space="0" w:color="auto"/>
            <w:bottom w:val="none" w:sz="0" w:space="0" w:color="auto"/>
            <w:right w:val="none" w:sz="0" w:space="0" w:color="auto"/>
          </w:divBdr>
          <w:divsChild>
            <w:div w:id="260458887">
              <w:marLeft w:val="0"/>
              <w:marRight w:val="0"/>
              <w:marTop w:val="0"/>
              <w:marBottom w:val="0"/>
              <w:divBdr>
                <w:top w:val="none" w:sz="0" w:space="0" w:color="auto"/>
                <w:left w:val="none" w:sz="0" w:space="0" w:color="auto"/>
                <w:bottom w:val="none" w:sz="0" w:space="0" w:color="auto"/>
                <w:right w:val="none" w:sz="0" w:space="0" w:color="auto"/>
              </w:divBdr>
              <w:divsChild>
                <w:div w:id="328825631">
                  <w:marLeft w:val="0"/>
                  <w:marRight w:val="0"/>
                  <w:marTop w:val="0"/>
                  <w:marBottom w:val="0"/>
                  <w:divBdr>
                    <w:top w:val="none" w:sz="0" w:space="0" w:color="auto"/>
                    <w:left w:val="none" w:sz="0" w:space="0" w:color="auto"/>
                    <w:bottom w:val="none" w:sz="0" w:space="0" w:color="auto"/>
                    <w:right w:val="none" w:sz="0" w:space="0" w:color="auto"/>
                  </w:divBdr>
                  <w:divsChild>
                    <w:div w:id="1879929241">
                      <w:marLeft w:val="0"/>
                      <w:marRight w:val="0"/>
                      <w:marTop w:val="0"/>
                      <w:marBottom w:val="0"/>
                      <w:divBdr>
                        <w:top w:val="none" w:sz="0" w:space="0" w:color="auto"/>
                        <w:left w:val="none" w:sz="0" w:space="0" w:color="auto"/>
                        <w:bottom w:val="none" w:sz="0" w:space="0" w:color="auto"/>
                        <w:right w:val="none" w:sz="0" w:space="0" w:color="auto"/>
                      </w:divBdr>
                      <w:divsChild>
                        <w:div w:id="535627529">
                          <w:marLeft w:val="0"/>
                          <w:marRight w:val="0"/>
                          <w:marTop w:val="0"/>
                          <w:marBottom w:val="0"/>
                          <w:divBdr>
                            <w:top w:val="none" w:sz="0" w:space="0" w:color="auto"/>
                            <w:left w:val="none" w:sz="0" w:space="0" w:color="auto"/>
                            <w:bottom w:val="none" w:sz="0" w:space="0" w:color="auto"/>
                            <w:right w:val="none" w:sz="0" w:space="0" w:color="auto"/>
                          </w:divBdr>
                          <w:divsChild>
                            <w:div w:id="10375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407533">
      <w:bodyDiv w:val="1"/>
      <w:marLeft w:val="0"/>
      <w:marRight w:val="0"/>
      <w:marTop w:val="0"/>
      <w:marBottom w:val="0"/>
      <w:divBdr>
        <w:top w:val="none" w:sz="0" w:space="0" w:color="auto"/>
        <w:left w:val="none" w:sz="0" w:space="0" w:color="auto"/>
        <w:bottom w:val="none" w:sz="0" w:space="0" w:color="auto"/>
        <w:right w:val="none" w:sz="0" w:space="0" w:color="auto"/>
      </w:divBdr>
    </w:div>
    <w:div w:id="496700804">
      <w:bodyDiv w:val="1"/>
      <w:marLeft w:val="0"/>
      <w:marRight w:val="0"/>
      <w:marTop w:val="0"/>
      <w:marBottom w:val="0"/>
      <w:divBdr>
        <w:top w:val="none" w:sz="0" w:space="0" w:color="auto"/>
        <w:left w:val="none" w:sz="0" w:space="0" w:color="auto"/>
        <w:bottom w:val="none" w:sz="0" w:space="0" w:color="auto"/>
        <w:right w:val="none" w:sz="0" w:space="0" w:color="auto"/>
      </w:divBdr>
    </w:div>
    <w:div w:id="497888184">
      <w:bodyDiv w:val="1"/>
      <w:marLeft w:val="0"/>
      <w:marRight w:val="0"/>
      <w:marTop w:val="0"/>
      <w:marBottom w:val="0"/>
      <w:divBdr>
        <w:top w:val="none" w:sz="0" w:space="0" w:color="auto"/>
        <w:left w:val="none" w:sz="0" w:space="0" w:color="auto"/>
        <w:bottom w:val="none" w:sz="0" w:space="0" w:color="auto"/>
        <w:right w:val="none" w:sz="0" w:space="0" w:color="auto"/>
      </w:divBdr>
    </w:div>
    <w:div w:id="499010389">
      <w:bodyDiv w:val="1"/>
      <w:marLeft w:val="0"/>
      <w:marRight w:val="0"/>
      <w:marTop w:val="0"/>
      <w:marBottom w:val="0"/>
      <w:divBdr>
        <w:top w:val="none" w:sz="0" w:space="0" w:color="auto"/>
        <w:left w:val="none" w:sz="0" w:space="0" w:color="auto"/>
        <w:bottom w:val="none" w:sz="0" w:space="0" w:color="auto"/>
        <w:right w:val="none" w:sz="0" w:space="0" w:color="auto"/>
      </w:divBdr>
    </w:div>
    <w:div w:id="499856211">
      <w:bodyDiv w:val="1"/>
      <w:marLeft w:val="0"/>
      <w:marRight w:val="0"/>
      <w:marTop w:val="0"/>
      <w:marBottom w:val="0"/>
      <w:divBdr>
        <w:top w:val="none" w:sz="0" w:space="0" w:color="auto"/>
        <w:left w:val="none" w:sz="0" w:space="0" w:color="auto"/>
        <w:bottom w:val="none" w:sz="0" w:space="0" w:color="auto"/>
        <w:right w:val="none" w:sz="0" w:space="0" w:color="auto"/>
      </w:divBdr>
    </w:div>
    <w:div w:id="542715891">
      <w:bodyDiv w:val="1"/>
      <w:marLeft w:val="0"/>
      <w:marRight w:val="0"/>
      <w:marTop w:val="0"/>
      <w:marBottom w:val="0"/>
      <w:divBdr>
        <w:top w:val="none" w:sz="0" w:space="0" w:color="auto"/>
        <w:left w:val="none" w:sz="0" w:space="0" w:color="auto"/>
        <w:bottom w:val="none" w:sz="0" w:space="0" w:color="auto"/>
        <w:right w:val="none" w:sz="0" w:space="0" w:color="auto"/>
      </w:divBdr>
    </w:div>
    <w:div w:id="576407471">
      <w:bodyDiv w:val="1"/>
      <w:marLeft w:val="0"/>
      <w:marRight w:val="0"/>
      <w:marTop w:val="0"/>
      <w:marBottom w:val="0"/>
      <w:divBdr>
        <w:top w:val="none" w:sz="0" w:space="0" w:color="auto"/>
        <w:left w:val="none" w:sz="0" w:space="0" w:color="auto"/>
        <w:bottom w:val="none" w:sz="0" w:space="0" w:color="auto"/>
        <w:right w:val="none" w:sz="0" w:space="0" w:color="auto"/>
      </w:divBdr>
    </w:div>
    <w:div w:id="590042183">
      <w:bodyDiv w:val="1"/>
      <w:marLeft w:val="0"/>
      <w:marRight w:val="0"/>
      <w:marTop w:val="0"/>
      <w:marBottom w:val="0"/>
      <w:divBdr>
        <w:top w:val="none" w:sz="0" w:space="0" w:color="auto"/>
        <w:left w:val="none" w:sz="0" w:space="0" w:color="auto"/>
        <w:bottom w:val="none" w:sz="0" w:space="0" w:color="auto"/>
        <w:right w:val="none" w:sz="0" w:space="0" w:color="auto"/>
      </w:divBdr>
    </w:div>
    <w:div w:id="594092587">
      <w:bodyDiv w:val="1"/>
      <w:marLeft w:val="0"/>
      <w:marRight w:val="0"/>
      <w:marTop w:val="0"/>
      <w:marBottom w:val="0"/>
      <w:divBdr>
        <w:top w:val="none" w:sz="0" w:space="0" w:color="auto"/>
        <w:left w:val="none" w:sz="0" w:space="0" w:color="auto"/>
        <w:bottom w:val="none" w:sz="0" w:space="0" w:color="auto"/>
        <w:right w:val="none" w:sz="0" w:space="0" w:color="auto"/>
      </w:divBdr>
    </w:div>
    <w:div w:id="617180695">
      <w:bodyDiv w:val="1"/>
      <w:marLeft w:val="0"/>
      <w:marRight w:val="0"/>
      <w:marTop w:val="0"/>
      <w:marBottom w:val="0"/>
      <w:divBdr>
        <w:top w:val="none" w:sz="0" w:space="0" w:color="auto"/>
        <w:left w:val="none" w:sz="0" w:space="0" w:color="auto"/>
        <w:bottom w:val="none" w:sz="0" w:space="0" w:color="auto"/>
        <w:right w:val="none" w:sz="0" w:space="0" w:color="auto"/>
      </w:divBdr>
    </w:div>
    <w:div w:id="628360421">
      <w:bodyDiv w:val="1"/>
      <w:marLeft w:val="0"/>
      <w:marRight w:val="0"/>
      <w:marTop w:val="0"/>
      <w:marBottom w:val="0"/>
      <w:divBdr>
        <w:top w:val="none" w:sz="0" w:space="0" w:color="auto"/>
        <w:left w:val="none" w:sz="0" w:space="0" w:color="auto"/>
        <w:bottom w:val="none" w:sz="0" w:space="0" w:color="auto"/>
        <w:right w:val="none" w:sz="0" w:space="0" w:color="auto"/>
      </w:divBdr>
    </w:div>
    <w:div w:id="630405733">
      <w:bodyDiv w:val="1"/>
      <w:marLeft w:val="0"/>
      <w:marRight w:val="0"/>
      <w:marTop w:val="0"/>
      <w:marBottom w:val="0"/>
      <w:divBdr>
        <w:top w:val="none" w:sz="0" w:space="0" w:color="auto"/>
        <w:left w:val="none" w:sz="0" w:space="0" w:color="auto"/>
        <w:bottom w:val="none" w:sz="0" w:space="0" w:color="auto"/>
        <w:right w:val="none" w:sz="0" w:space="0" w:color="auto"/>
      </w:divBdr>
    </w:div>
    <w:div w:id="656375112">
      <w:bodyDiv w:val="1"/>
      <w:marLeft w:val="0"/>
      <w:marRight w:val="0"/>
      <w:marTop w:val="0"/>
      <w:marBottom w:val="0"/>
      <w:divBdr>
        <w:top w:val="none" w:sz="0" w:space="0" w:color="auto"/>
        <w:left w:val="none" w:sz="0" w:space="0" w:color="auto"/>
        <w:bottom w:val="none" w:sz="0" w:space="0" w:color="auto"/>
        <w:right w:val="none" w:sz="0" w:space="0" w:color="auto"/>
      </w:divBdr>
    </w:div>
    <w:div w:id="662123069">
      <w:bodyDiv w:val="1"/>
      <w:marLeft w:val="0"/>
      <w:marRight w:val="0"/>
      <w:marTop w:val="0"/>
      <w:marBottom w:val="0"/>
      <w:divBdr>
        <w:top w:val="none" w:sz="0" w:space="0" w:color="auto"/>
        <w:left w:val="none" w:sz="0" w:space="0" w:color="auto"/>
        <w:bottom w:val="none" w:sz="0" w:space="0" w:color="auto"/>
        <w:right w:val="none" w:sz="0" w:space="0" w:color="auto"/>
      </w:divBdr>
    </w:div>
    <w:div w:id="666589600">
      <w:bodyDiv w:val="1"/>
      <w:marLeft w:val="0"/>
      <w:marRight w:val="0"/>
      <w:marTop w:val="0"/>
      <w:marBottom w:val="0"/>
      <w:divBdr>
        <w:top w:val="none" w:sz="0" w:space="0" w:color="auto"/>
        <w:left w:val="none" w:sz="0" w:space="0" w:color="auto"/>
        <w:bottom w:val="none" w:sz="0" w:space="0" w:color="auto"/>
        <w:right w:val="none" w:sz="0" w:space="0" w:color="auto"/>
      </w:divBdr>
    </w:div>
    <w:div w:id="696659856">
      <w:bodyDiv w:val="1"/>
      <w:marLeft w:val="0"/>
      <w:marRight w:val="0"/>
      <w:marTop w:val="0"/>
      <w:marBottom w:val="0"/>
      <w:divBdr>
        <w:top w:val="none" w:sz="0" w:space="0" w:color="auto"/>
        <w:left w:val="none" w:sz="0" w:space="0" w:color="auto"/>
        <w:bottom w:val="none" w:sz="0" w:space="0" w:color="auto"/>
        <w:right w:val="none" w:sz="0" w:space="0" w:color="auto"/>
      </w:divBdr>
    </w:div>
    <w:div w:id="697854140">
      <w:bodyDiv w:val="1"/>
      <w:marLeft w:val="0"/>
      <w:marRight w:val="0"/>
      <w:marTop w:val="0"/>
      <w:marBottom w:val="0"/>
      <w:divBdr>
        <w:top w:val="none" w:sz="0" w:space="0" w:color="auto"/>
        <w:left w:val="none" w:sz="0" w:space="0" w:color="auto"/>
        <w:bottom w:val="none" w:sz="0" w:space="0" w:color="auto"/>
        <w:right w:val="none" w:sz="0" w:space="0" w:color="auto"/>
      </w:divBdr>
    </w:div>
    <w:div w:id="710156464">
      <w:bodyDiv w:val="1"/>
      <w:marLeft w:val="0"/>
      <w:marRight w:val="0"/>
      <w:marTop w:val="0"/>
      <w:marBottom w:val="0"/>
      <w:divBdr>
        <w:top w:val="none" w:sz="0" w:space="0" w:color="auto"/>
        <w:left w:val="none" w:sz="0" w:space="0" w:color="auto"/>
        <w:bottom w:val="none" w:sz="0" w:space="0" w:color="auto"/>
        <w:right w:val="none" w:sz="0" w:space="0" w:color="auto"/>
      </w:divBdr>
    </w:div>
    <w:div w:id="711928273">
      <w:bodyDiv w:val="1"/>
      <w:marLeft w:val="0"/>
      <w:marRight w:val="0"/>
      <w:marTop w:val="0"/>
      <w:marBottom w:val="0"/>
      <w:divBdr>
        <w:top w:val="none" w:sz="0" w:space="0" w:color="auto"/>
        <w:left w:val="none" w:sz="0" w:space="0" w:color="auto"/>
        <w:bottom w:val="none" w:sz="0" w:space="0" w:color="auto"/>
        <w:right w:val="none" w:sz="0" w:space="0" w:color="auto"/>
      </w:divBdr>
    </w:div>
    <w:div w:id="714503218">
      <w:bodyDiv w:val="1"/>
      <w:marLeft w:val="0"/>
      <w:marRight w:val="0"/>
      <w:marTop w:val="0"/>
      <w:marBottom w:val="0"/>
      <w:divBdr>
        <w:top w:val="none" w:sz="0" w:space="0" w:color="auto"/>
        <w:left w:val="none" w:sz="0" w:space="0" w:color="auto"/>
        <w:bottom w:val="none" w:sz="0" w:space="0" w:color="auto"/>
        <w:right w:val="none" w:sz="0" w:space="0" w:color="auto"/>
      </w:divBdr>
    </w:div>
    <w:div w:id="751584315">
      <w:bodyDiv w:val="1"/>
      <w:marLeft w:val="0"/>
      <w:marRight w:val="0"/>
      <w:marTop w:val="0"/>
      <w:marBottom w:val="0"/>
      <w:divBdr>
        <w:top w:val="none" w:sz="0" w:space="0" w:color="auto"/>
        <w:left w:val="none" w:sz="0" w:space="0" w:color="auto"/>
        <w:bottom w:val="none" w:sz="0" w:space="0" w:color="auto"/>
        <w:right w:val="none" w:sz="0" w:space="0" w:color="auto"/>
      </w:divBdr>
    </w:div>
    <w:div w:id="775634380">
      <w:bodyDiv w:val="1"/>
      <w:marLeft w:val="0"/>
      <w:marRight w:val="0"/>
      <w:marTop w:val="0"/>
      <w:marBottom w:val="0"/>
      <w:divBdr>
        <w:top w:val="none" w:sz="0" w:space="0" w:color="auto"/>
        <w:left w:val="none" w:sz="0" w:space="0" w:color="auto"/>
        <w:bottom w:val="none" w:sz="0" w:space="0" w:color="auto"/>
        <w:right w:val="none" w:sz="0" w:space="0" w:color="auto"/>
      </w:divBdr>
    </w:div>
    <w:div w:id="777871940">
      <w:bodyDiv w:val="1"/>
      <w:marLeft w:val="0"/>
      <w:marRight w:val="0"/>
      <w:marTop w:val="0"/>
      <w:marBottom w:val="0"/>
      <w:divBdr>
        <w:top w:val="none" w:sz="0" w:space="0" w:color="auto"/>
        <w:left w:val="none" w:sz="0" w:space="0" w:color="auto"/>
        <w:bottom w:val="none" w:sz="0" w:space="0" w:color="auto"/>
        <w:right w:val="none" w:sz="0" w:space="0" w:color="auto"/>
      </w:divBdr>
    </w:div>
    <w:div w:id="786580927">
      <w:bodyDiv w:val="1"/>
      <w:marLeft w:val="0"/>
      <w:marRight w:val="0"/>
      <w:marTop w:val="0"/>
      <w:marBottom w:val="0"/>
      <w:divBdr>
        <w:top w:val="none" w:sz="0" w:space="0" w:color="auto"/>
        <w:left w:val="none" w:sz="0" w:space="0" w:color="auto"/>
        <w:bottom w:val="none" w:sz="0" w:space="0" w:color="auto"/>
        <w:right w:val="none" w:sz="0" w:space="0" w:color="auto"/>
      </w:divBdr>
    </w:div>
    <w:div w:id="804198185">
      <w:bodyDiv w:val="1"/>
      <w:marLeft w:val="0"/>
      <w:marRight w:val="0"/>
      <w:marTop w:val="0"/>
      <w:marBottom w:val="0"/>
      <w:divBdr>
        <w:top w:val="none" w:sz="0" w:space="0" w:color="auto"/>
        <w:left w:val="none" w:sz="0" w:space="0" w:color="auto"/>
        <w:bottom w:val="none" w:sz="0" w:space="0" w:color="auto"/>
        <w:right w:val="none" w:sz="0" w:space="0" w:color="auto"/>
      </w:divBdr>
    </w:div>
    <w:div w:id="822354030">
      <w:bodyDiv w:val="1"/>
      <w:marLeft w:val="0"/>
      <w:marRight w:val="0"/>
      <w:marTop w:val="0"/>
      <w:marBottom w:val="0"/>
      <w:divBdr>
        <w:top w:val="none" w:sz="0" w:space="0" w:color="auto"/>
        <w:left w:val="none" w:sz="0" w:space="0" w:color="auto"/>
        <w:bottom w:val="none" w:sz="0" w:space="0" w:color="auto"/>
        <w:right w:val="none" w:sz="0" w:space="0" w:color="auto"/>
      </w:divBdr>
    </w:div>
    <w:div w:id="829834258">
      <w:bodyDiv w:val="1"/>
      <w:marLeft w:val="0"/>
      <w:marRight w:val="0"/>
      <w:marTop w:val="0"/>
      <w:marBottom w:val="0"/>
      <w:divBdr>
        <w:top w:val="none" w:sz="0" w:space="0" w:color="auto"/>
        <w:left w:val="none" w:sz="0" w:space="0" w:color="auto"/>
        <w:bottom w:val="none" w:sz="0" w:space="0" w:color="auto"/>
        <w:right w:val="none" w:sz="0" w:space="0" w:color="auto"/>
      </w:divBdr>
    </w:div>
    <w:div w:id="841700267">
      <w:bodyDiv w:val="1"/>
      <w:marLeft w:val="0"/>
      <w:marRight w:val="0"/>
      <w:marTop w:val="0"/>
      <w:marBottom w:val="0"/>
      <w:divBdr>
        <w:top w:val="none" w:sz="0" w:space="0" w:color="auto"/>
        <w:left w:val="none" w:sz="0" w:space="0" w:color="auto"/>
        <w:bottom w:val="none" w:sz="0" w:space="0" w:color="auto"/>
        <w:right w:val="none" w:sz="0" w:space="0" w:color="auto"/>
      </w:divBdr>
    </w:div>
    <w:div w:id="862787159">
      <w:bodyDiv w:val="1"/>
      <w:marLeft w:val="0"/>
      <w:marRight w:val="0"/>
      <w:marTop w:val="0"/>
      <w:marBottom w:val="0"/>
      <w:divBdr>
        <w:top w:val="none" w:sz="0" w:space="0" w:color="auto"/>
        <w:left w:val="none" w:sz="0" w:space="0" w:color="auto"/>
        <w:bottom w:val="none" w:sz="0" w:space="0" w:color="auto"/>
        <w:right w:val="none" w:sz="0" w:space="0" w:color="auto"/>
      </w:divBdr>
    </w:div>
    <w:div w:id="865798539">
      <w:bodyDiv w:val="1"/>
      <w:marLeft w:val="0"/>
      <w:marRight w:val="0"/>
      <w:marTop w:val="0"/>
      <w:marBottom w:val="0"/>
      <w:divBdr>
        <w:top w:val="none" w:sz="0" w:space="0" w:color="auto"/>
        <w:left w:val="none" w:sz="0" w:space="0" w:color="auto"/>
        <w:bottom w:val="none" w:sz="0" w:space="0" w:color="auto"/>
        <w:right w:val="none" w:sz="0" w:space="0" w:color="auto"/>
      </w:divBdr>
    </w:div>
    <w:div w:id="882445720">
      <w:bodyDiv w:val="1"/>
      <w:marLeft w:val="0"/>
      <w:marRight w:val="0"/>
      <w:marTop w:val="0"/>
      <w:marBottom w:val="0"/>
      <w:divBdr>
        <w:top w:val="none" w:sz="0" w:space="0" w:color="auto"/>
        <w:left w:val="none" w:sz="0" w:space="0" w:color="auto"/>
        <w:bottom w:val="none" w:sz="0" w:space="0" w:color="auto"/>
        <w:right w:val="none" w:sz="0" w:space="0" w:color="auto"/>
      </w:divBdr>
    </w:div>
    <w:div w:id="904220785">
      <w:bodyDiv w:val="1"/>
      <w:marLeft w:val="0"/>
      <w:marRight w:val="0"/>
      <w:marTop w:val="0"/>
      <w:marBottom w:val="0"/>
      <w:divBdr>
        <w:top w:val="none" w:sz="0" w:space="0" w:color="auto"/>
        <w:left w:val="none" w:sz="0" w:space="0" w:color="auto"/>
        <w:bottom w:val="none" w:sz="0" w:space="0" w:color="auto"/>
        <w:right w:val="none" w:sz="0" w:space="0" w:color="auto"/>
      </w:divBdr>
    </w:div>
    <w:div w:id="948438506">
      <w:bodyDiv w:val="1"/>
      <w:marLeft w:val="0"/>
      <w:marRight w:val="0"/>
      <w:marTop w:val="0"/>
      <w:marBottom w:val="0"/>
      <w:divBdr>
        <w:top w:val="none" w:sz="0" w:space="0" w:color="auto"/>
        <w:left w:val="none" w:sz="0" w:space="0" w:color="auto"/>
        <w:bottom w:val="none" w:sz="0" w:space="0" w:color="auto"/>
        <w:right w:val="none" w:sz="0" w:space="0" w:color="auto"/>
      </w:divBdr>
    </w:div>
    <w:div w:id="950010219">
      <w:bodyDiv w:val="1"/>
      <w:marLeft w:val="0"/>
      <w:marRight w:val="0"/>
      <w:marTop w:val="0"/>
      <w:marBottom w:val="0"/>
      <w:divBdr>
        <w:top w:val="none" w:sz="0" w:space="0" w:color="auto"/>
        <w:left w:val="none" w:sz="0" w:space="0" w:color="auto"/>
        <w:bottom w:val="none" w:sz="0" w:space="0" w:color="auto"/>
        <w:right w:val="none" w:sz="0" w:space="0" w:color="auto"/>
      </w:divBdr>
    </w:div>
    <w:div w:id="972753898">
      <w:bodyDiv w:val="1"/>
      <w:marLeft w:val="0"/>
      <w:marRight w:val="0"/>
      <w:marTop w:val="0"/>
      <w:marBottom w:val="0"/>
      <w:divBdr>
        <w:top w:val="none" w:sz="0" w:space="0" w:color="auto"/>
        <w:left w:val="none" w:sz="0" w:space="0" w:color="auto"/>
        <w:bottom w:val="none" w:sz="0" w:space="0" w:color="auto"/>
        <w:right w:val="none" w:sz="0" w:space="0" w:color="auto"/>
      </w:divBdr>
    </w:div>
    <w:div w:id="975531979">
      <w:bodyDiv w:val="1"/>
      <w:marLeft w:val="0"/>
      <w:marRight w:val="0"/>
      <w:marTop w:val="0"/>
      <w:marBottom w:val="0"/>
      <w:divBdr>
        <w:top w:val="none" w:sz="0" w:space="0" w:color="auto"/>
        <w:left w:val="none" w:sz="0" w:space="0" w:color="auto"/>
        <w:bottom w:val="none" w:sz="0" w:space="0" w:color="auto"/>
        <w:right w:val="none" w:sz="0" w:space="0" w:color="auto"/>
      </w:divBdr>
    </w:div>
    <w:div w:id="978918600">
      <w:bodyDiv w:val="1"/>
      <w:marLeft w:val="0"/>
      <w:marRight w:val="0"/>
      <w:marTop w:val="0"/>
      <w:marBottom w:val="0"/>
      <w:divBdr>
        <w:top w:val="none" w:sz="0" w:space="0" w:color="auto"/>
        <w:left w:val="none" w:sz="0" w:space="0" w:color="auto"/>
        <w:bottom w:val="none" w:sz="0" w:space="0" w:color="auto"/>
        <w:right w:val="none" w:sz="0" w:space="0" w:color="auto"/>
      </w:divBdr>
    </w:div>
    <w:div w:id="983852049">
      <w:bodyDiv w:val="1"/>
      <w:marLeft w:val="0"/>
      <w:marRight w:val="0"/>
      <w:marTop w:val="0"/>
      <w:marBottom w:val="0"/>
      <w:divBdr>
        <w:top w:val="none" w:sz="0" w:space="0" w:color="auto"/>
        <w:left w:val="none" w:sz="0" w:space="0" w:color="auto"/>
        <w:bottom w:val="none" w:sz="0" w:space="0" w:color="auto"/>
        <w:right w:val="none" w:sz="0" w:space="0" w:color="auto"/>
      </w:divBdr>
    </w:div>
    <w:div w:id="984814021">
      <w:bodyDiv w:val="1"/>
      <w:marLeft w:val="0"/>
      <w:marRight w:val="0"/>
      <w:marTop w:val="0"/>
      <w:marBottom w:val="0"/>
      <w:divBdr>
        <w:top w:val="none" w:sz="0" w:space="0" w:color="auto"/>
        <w:left w:val="none" w:sz="0" w:space="0" w:color="auto"/>
        <w:bottom w:val="none" w:sz="0" w:space="0" w:color="auto"/>
        <w:right w:val="none" w:sz="0" w:space="0" w:color="auto"/>
      </w:divBdr>
    </w:div>
    <w:div w:id="986781715">
      <w:bodyDiv w:val="1"/>
      <w:marLeft w:val="0"/>
      <w:marRight w:val="0"/>
      <w:marTop w:val="0"/>
      <w:marBottom w:val="0"/>
      <w:divBdr>
        <w:top w:val="none" w:sz="0" w:space="0" w:color="auto"/>
        <w:left w:val="none" w:sz="0" w:space="0" w:color="auto"/>
        <w:bottom w:val="none" w:sz="0" w:space="0" w:color="auto"/>
        <w:right w:val="none" w:sz="0" w:space="0" w:color="auto"/>
      </w:divBdr>
    </w:div>
    <w:div w:id="992105634">
      <w:bodyDiv w:val="1"/>
      <w:marLeft w:val="0"/>
      <w:marRight w:val="0"/>
      <w:marTop w:val="0"/>
      <w:marBottom w:val="0"/>
      <w:divBdr>
        <w:top w:val="none" w:sz="0" w:space="0" w:color="auto"/>
        <w:left w:val="none" w:sz="0" w:space="0" w:color="auto"/>
        <w:bottom w:val="none" w:sz="0" w:space="0" w:color="auto"/>
        <w:right w:val="none" w:sz="0" w:space="0" w:color="auto"/>
      </w:divBdr>
    </w:div>
    <w:div w:id="997686044">
      <w:bodyDiv w:val="1"/>
      <w:marLeft w:val="0"/>
      <w:marRight w:val="0"/>
      <w:marTop w:val="0"/>
      <w:marBottom w:val="0"/>
      <w:divBdr>
        <w:top w:val="none" w:sz="0" w:space="0" w:color="auto"/>
        <w:left w:val="none" w:sz="0" w:space="0" w:color="auto"/>
        <w:bottom w:val="none" w:sz="0" w:space="0" w:color="auto"/>
        <w:right w:val="none" w:sz="0" w:space="0" w:color="auto"/>
      </w:divBdr>
    </w:div>
    <w:div w:id="998463339">
      <w:bodyDiv w:val="1"/>
      <w:marLeft w:val="0"/>
      <w:marRight w:val="0"/>
      <w:marTop w:val="0"/>
      <w:marBottom w:val="0"/>
      <w:divBdr>
        <w:top w:val="none" w:sz="0" w:space="0" w:color="auto"/>
        <w:left w:val="none" w:sz="0" w:space="0" w:color="auto"/>
        <w:bottom w:val="none" w:sz="0" w:space="0" w:color="auto"/>
        <w:right w:val="none" w:sz="0" w:space="0" w:color="auto"/>
      </w:divBdr>
    </w:div>
    <w:div w:id="999579344">
      <w:bodyDiv w:val="1"/>
      <w:marLeft w:val="0"/>
      <w:marRight w:val="0"/>
      <w:marTop w:val="0"/>
      <w:marBottom w:val="0"/>
      <w:divBdr>
        <w:top w:val="none" w:sz="0" w:space="0" w:color="auto"/>
        <w:left w:val="none" w:sz="0" w:space="0" w:color="auto"/>
        <w:bottom w:val="none" w:sz="0" w:space="0" w:color="auto"/>
        <w:right w:val="none" w:sz="0" w:space="0" w:color="auto"/>
      </w:divBdr>
    </w:div>
    <w:div w:id="1003582734">
      <w:bodyDiv w:val="1"/>
      <w:marLeft w:val="0"/>
      <w:marRight w:val="0"/>
      <w:marTop w:val="0"/>
      <w:marBottom w:val="0"/>
      <w:divBdr>
        <w:top w:val="none" w:sz="0" w:space="0" w:color="auto"/>
        <w:left w:val="none" w:sz="0" w:space="0" w:color="auto"/>
        <w:bottom w:val="none" w:sz="0" w:space="0" w:color="auto"/>
        <w:right w:val="none" w:sz="0" w:space="0" w:color="auto"/>
      </w:divBdr>
    </w:div>
    <w:div w:id="1005205954">
      <w:bodyDiv w:val="1"/>
      <w:marLeft w:val="0"/>
      <w:marRight w:val="0"/>
      <w:marTop w:val="0"/>
      <w:marBottom w:val="0"/>
      <w:divBdr>
        <w:top w:val="none" w:sz="0" w:space="0" w:color="auto"/>
        <w:left w:val="none" w:sz="0" w:space="0" w:color="auto"/>
        <w:bottom w:val="none" w:sz="0" w:space="0" w:color="auto"/>
        <w:right w:val="none" w:sz="0" w:space="0" w:color="auto"/>
      </w:divBdr>
    </w:div>
    <w:div w:id="1006983385">
      <w:bodyDiv w:val="1"/>
      <w:marLeft w:val="0"/>
      <w:marRight w:val="0"/>
      <w:marTop w:val="0"/>
      <w:marBottom w:val="0"/>
      <w:divBdr>
        <w:top w:val="none" w:sz="0" w:space="0" w:color="auto"/>
        <w:left w:val="none" w:sz="0" w:space="0" w:color="auto"/>
        <w:bottom w:val="none" w:sz="0" w:space="0" w:color="auto"/>
        <w:right w:val="none" w:sz="0" w:space="0" w:color="auto"/>
      </w:divBdr>
    </w:div>
    <w:div w:id="1009479474">
      <w:bodyDiv w:val="1"/>
      <w:marLeft w:val="0"/>
      <w:marRight w:val="0"/>
      <w:marTop w:val="0"/>
      <w:marBottom w:val="0"/>
      <w:divBdr>
        <w:top w:val="none" w:sz="0" w:space="0" w:color="auto"/>
        <w:left w:val="none" w:sz="0" w:space="0" w:color="auto"/>
        <w:bottom w:val="none" w:sz="0" w:space="0" w:color="auto"/>
        <w:right w:val="none" w:sz="0" w:space="0" w:color="auto"/>
      </w:divBdr>
    </w:div>
    <w:div w:id="1012534556">
      <w:bodyDiv w:val="1"/>
      <w:marLeft w:val="0"/>
      <w:marRight w:val="0"/>
      <w:marTop w:val="0"/>
      <w:marBottom w:val="0"/>
      <w:divBdr>
        <w:top w:val="none" w:sz="0" w:space="0" w:color="auto"/>
        <w:left w:val="none" w:sz="0" w:space="0" w:color="auto"/>
        <w:bottom w:val="none" w:sz="0" w:space="0" w:color="auto"/>
        <w:right w:val="none" w:sz="0" w:space="0" w:color="auto"/>
      </w:divBdr>
    </w:div>
    <w:div w:id="1028795258">
      <w:bodyDiv w:val="1"/>
      <w:marLeft w:val="0"/>
      <w:marRight w:val="0"/>
      <w:marTop w:val="0"/>
      <w:marBottom w:val="0"/>
      <w:divBdr>
        <w:top w:val="none" w:sz="0" w:space="0" w:color="auto"/>
        <w:left w:val="none" w:sz="0" w:space="0" w:color="auto"/>
        <w:bottom w:val="none" w:sz="0" w:space="0" w:color="auto"/>
        <w:right w:val="none" w:sz="0" w:space="0" w:color="auto"/>
      </w:divBdr>
    </w:div>
    <w:div w:id="1036196720">
      <w:bodyDiv w:val="1"/>
      <w:marLeft w:val="0"/>
      <w:marRight w:val="0"/>
      <w:marTop w:val="0"/>
      <w:marBottom w:val="0"/>
      <w:divBdr>
        <w:top w:val="none" w:sz="0" w:space="0" w:color="auto"/>
        <w:left w:val="none" w:sz="0" w:space="0" w:color="auto"/>
        <w:bottom w:val="none" w:sz="0" w:space="0" w:color="auto"/>
        <w:right w:val="none" w:sz="0" w:space="0" w:color="auto"/>
      </w:divBdr>
    </w:div>
    <w:div w:id="1037201541">
      <w:bodyDiv w:val="1"/>
      <w:marLeft w:val="0"/>
      <w:marRight w:val="0"/>
      <w:marTop w:val="0"/>
      <w:marBottom w:val="0"/>
      <w:divBdr>
        <w:top w:val="none" w:sz="0" w:space="0" w:color="auto"/>
        <w:left w:val="none" w:sz="0" w:space="0" w:color="auto"/>
        <w:bottom w:val="none" w:sz="0" w:space="0" w:color="auto"/>
        <w:right w:val="none" w:sz="0" w:space="0" w:color="auto"/>
      </w:divBdr>
    </w:div>
    <w:div w:id="1042750924">
      <w:bodyDiv w:val="1"/>
      <w:marLeft w:val="0"/>
      <w:marRight w:val="0"/>
      <w:marTop w:val="0"/>
      <w:marBottom w:val="0"/>
      <w:divBdr>
        <w:top w:val="none" w:sz="0" w:space="0" w:color="auto"/>
        <w:left w:val="none" w:sz="0" w:space="0" w:color="auto"/>
        <w:bottom w:val="none" w:sz="0" w:space="0" w:color="auto"/>
        <w:right w:val="none" w:sz="0" w:space="0" w:color="auto"/>
      </w:divBdr>
    </w:div>
    <w:div w:id="1044717468">
      <w:bodyDiv w:val="1"/>
      <w:marLeft w:val="0"/>
      <w:marRight w:val="0"/>
      <w:marTop w:val="0"/>
      <w:marBottom w:val="0"/>
      <w:divBdr>
        <w:top w:val="none" w:sz="0" w:space="0" w:color="auto"/>
        <w:left w:val="none" w:sz="0" w:space="0" w:color="auto"/>
        <w:bottom w:val="none" w:sz="0" w:space="0" w:color="auto"/>
        <w:right w:val="none" w:sz="0" w:space="0" w:color="auto"/>
      </w:divBdr>
    </w:div>
    <w:div w:id="1086196416">
      <w:bodyDiv w:val="1"/>
      <w:marLeft w:val="0"/>
      <w:marRight w:val="0"/>
      <w:marTop w:val="0"/>
      <w:marBottom w:val="0"/>
      <w:divBdr>
        <w:top w:val="none" w:sz="0" w:space="0" w:color="auto"/>
        <w:left w:val="none" w:sz="0" w:space="0" w:color="auto"/>
        <w:bottom w:val="none" w:sz="0" w:space="0" w:color="auto"/>
        <w:right w:val="none" w:sz="0" w:space="0" w:color="auto"/>
      </w:divBdr>
    </w:div>
    <w:div w:id="1091660371">
      <w:bodyDiv w:val="1"/>
      <w:marLeft w:val="0"/>
      <w:marRight w:val="0"/>
      <w:marTop w:val="0"/>
      <w:marBottom w:val="0"/>
      <w:divBdr>
        <w:top w:val="none" w:sz="0" w:space="0" w:color="auto"/>
        <w:left w:val="none" w:sz="0" w:space="0" w:color="auto"/>
        <w:bottom w:val="none" w:sz="0" w:space="0" w:color="auto"/>
        <w:right w:val="none" w:sz="0" w:space="0" w:color="auto"/>
      </w:divBdr>
    </w:div>
    <w:div w:id="1100444667">
      <w:bodyDiv w:val="1"/>
      <w:marLeft w:val="0"/>
      <w:marRight w:val="0"/>
      <w:marTop w:val="0"/>
      <w:marBottom w:val="0"/>
      <w:divBdr>
        <w:top w:val="none" w:sz="0" w:space="0" w:color="auto"/>
        <w:left w:val="none" w:sz="0" w:space="0" w:color="auto"/>
        <w:bottom w:val="none" w:sz="0" w:space="0" w:color="auto"/>
        <w:right w:val="none" w:sz="0" w:space="0" w:color="auto"/>
      </w:divBdr>
    </w:div>
    <w:div w:id="1117025795">
      <w:bodyDiv w:val="1"/>
      <w:marLeft w:val="0"/>
      <w:marRight w:val="0"/>
      <w:marTop w:val="0"/>
      <w:marBottom w:val="0"/>
      <w:divBdr>
        <w:top w:val="none" w:sz="0" w:space="0" w:color="auto"/>
        <w:left w:val="none" w:sz="0" w:space="0" w:color="auto"/>
        <w:bottom w:val="none" w:sz="0" w:space="0" w:color="auto"/>
        <w:right w:val="none" w:sz="0" w:space="0" w:color="auto"/>
      </w:divBdr>
    </w:div>
    <w:div w:id="1136069016">
      <w:bodyDiv w:val="1"/>
      <w:marLeft w:val="0"/>
      <w:marRight w:val="0"/>
      <w:marTop w:val="0"/>
      <w:marBottom w:val="0"/>
      <w:divBdr>
        <w:top w:val="none" w:sz="0" w:space="0" w:color="auto"/>
        <w:left w:val="none" w:sz="0" w:space="0" w:color="auto"/>
        <w:bottom w:val="none" w:sz="0" w:space="0" w:color="auto"/>
        <w:right w:val="none" w:sz="0" w:space="0" w:color="auto"/>
      </w:divBdr>
    </w:div>
    <w:div w:id="1144856149">
      <w:bodyDiv w:val="1"/>
      <w:marLeft w:val="0"/>
      <w:marRight w:val="0"/>
      <w:marTop w:val="0"/>
      <w:marBottom w:val="0"/>
      <w:divBdr>
        <w:top w:val="none" w:sz="0" w:space="0" w:color="auto"/>
        <w:left w:val="none" w:sz="0" w:space="0" w:color="auto"/>
        <w:bottom w:val="none" w:sz="0" w:space="0" w:color="auto"/>
        <w:right w:val="none" w:sz="0" w:space="0" w:color="auto"/>
      </w:divBdr>
    </w:div>
    <w:div w:id="1184787889">
      <w:bodyDiv w:val="1"/>
      <w:marLeft w:val="0"/>
      <w:marRight w:val="0"/>
      <w:marTop w:val="0"/>
      <w:marBottom w:val="0"/>
      <w:divBdr>
        <w:top w:val="none" w:sz="0" w:space="0" w:color="auto"/>
        <w:left w:val="none" w:sz="0" w:space="0" w:color="auto"/>
        <w:bottom w:val="none" w:sz="0" w:space="0" w:color="auto"/>
        <w:right w:val="none" w:sz="0" w:space="0" w:color="auto"/>
      </w:divBdr>
    </w:div>
    <w:div w:id="1188174285">
      <w:bodyDiv w:val="1"/>
      <w:marLeft w:val="0"/>
      <w:marRight w:val="0"/>
      <w:marTop w:val="0"/>
      <w:marBottom w:val="0"/>
      <w:divBdr>
        <w:top w:val="none" w:sz="0" w:space="0" w:color="auto"/>
        <w:left w:val="none" w:sz="0" w:space="0" w:color="auto"/>
        <w:bottom w:val="none" w:sz="0" w:space="0" w:color="auto"/>
        <w:right w:val="none" w:sz="0" w:space="0" w:color="auto"/>
      </w:divBdr>
    </w:div>
    <w:div w:id="1193156023">
      <w:bodyDiv w:val="1"/>
      <w:marLeft w:val="0"/>
      <w:marRight w:val="0"/>
      <w:marTop w:val="0"/>
      <w:marBottom w:val="0"/>
      <w:divBdr>
        <w:top w:val="none" w:sz="0" w:space="0" w:color="auto"/>
        <w:left w:val="none" w:sz="0" w:space="0" w:color="auto"/>
        <w:bottom w:val="none" w:sz="0" w:space="0" w:color="auto"/>
        <w:right w:val="none" w:sz="0" w:space="0" w:color="auto"/>
      </w:divBdr>
    </w:div>
    <w:div w:id="1200164603">
      <w:bodyDiv w:val="1"/>
      <w:marLeft w:val="0"/>
      <w:marRight w:val="0"/>
      <w:marTop w:val="0"/>
      <w:marBottom w:val="0"/>
      <w:divBdr>
        <w:top w:val="none" w:sz="0" w:space="0" w:color="auto"/>
        <w:left w:val="none" w:sz="0" w:space="0" w:color="auto"/>
        <w:bottom w:val="none" w:sz="0" w:space="0" w:color="auto"/>
        <w:right w:val="none" w:sz="0" w:space="0" w:color="auto"/>
      </w:divBdr>
    </w:div>
    <w:div w:id="1214077891">
      <w:bodyDiv w:val="1"/>
      <w:marLeft w:val="0"/>
      <w:marRight w:val="0"/>
      <w:marTop w:val="0"/>
      <w:marBottom w:val="0"/>
      <w:divBdr>
        <w:top w:val="none" w:sz="0" w:space="0" w:color="auto"/>
        <w:left w:val="none" w:sz="0" w:space="0" w:color="auto"/>
        <w:bottom w:val="none" w:sz="0" w:space="0" w:color="auto"/>
        <w:right w:val="none" w:sz="0" w:space="0" w:color="auto"/>
      </w:divBdr>
    </w:div>
    <w:div w:id="1221936360">
      <w:bodyDiv w:val="1"/>
      <w:marLeft w:val="0"/>
      <w:marRight w:val="0"/>
      <w:marTop w:val="0"/>
      <w:marBottom w:val="0"/>
      <w:divBdr>
        <w:top w:val="none" w:sz="0" w:space="0" w:color="auto"/>
        <w:left w:val="none" w:sz="0" w:space="0" w:color="auto"/>
        <w:bottom w:val="none" w:sz="0" w:space="0" w:color="auto"/>
        <w:right w:val="none" w:sz="0" w:space="0" w:color="auto"/>
      </w:divBdr>
    </w:div>
    <w:div w:id="1257251549">
      <w:bodyDiv w:val="1"/>
      <w:marLeft w:val="0"/>
      <w:marRight w:val="0"/>
      <w:marTop w:val="0"/>
      <w:marBottom w:val="0"/>
      <w:divBdr>
        <w:top w:val="none" w:sz="0" w:space="0" w:color="auto"/>
        <w:left w:val="none" w:sz="0" w:space="0" w:color="auto"/>
        <w:bottom w:val="none" w:sz="0" w:space="0" w:color="auto"/>
        <w:right w:val="none" w:sz="0" w:space="0" w:color="auto"/>
      </w:divBdr>
    </w:div>
    <w:div w:id="1262447849">
      <w:bodyDiv w:val="1"/>
      <w:marLeft w:val="0"/>
      <w:marRight w:val="0"/>
      <w:marTop w:val="0"/>
      <w:marBottom w:val="0"/>
      <w:divBdr>
        <w:top w:val="none" w:sz="0" w:space="0" w:color="auto"/>
        <w:left w:val="none" w:sz="0" w:space="0" w:color="auto"/>
        <w:bottom w:val="none" w:sz="0" w:space="0" w:color="auto"/>
        <w:right w:val="none" w:sz="0" w:space="0" w:color="auto"/>
      </w:divBdr>
    </w:div>
    <w:div w:id="1266419753">
      <w:bodyDiv w:val="1"/>
      <w:marLeft w:val="0"/>
      <w:marRight w:val="0"/>
      <w:marTop w:val="0"/>
      <w:marBottom w:val="0"/>
      <w:divBdr>
        <w:top w:val="none" w:sz="0" w:space="0" w:color="auto"/>
        <w:left w:val="none" w:sz="0" w:space="0" w:color="auto"/>
        <w:bottom w:val="none" w:sz="0" w:space="0" w:color="auto"/>
        <w:right w:val="none" w:sz="0" w:space="0" w:color="auto"/>
      </w:divBdr>
    </w:div>
    <w:div w:id="1288464585">
      <w:bodyDiv w:val="1"/>
      <w:marLeft w:val="0"/>
      <w:marRight w:val="0"/>
      <w:marTop w:val="0"/>
      <w:marBottom w:val="0"/>
      <w:divBdr>
        <w:top w:val="none" w:sz="0" w:space="0" w:color="auto"/>
        <w:left w:val="none" w:sz="0" w:space="0" w:color="auto"/>
        <w:bottom w:val="none" w:sz="0" w:space="0" w:color="auto"/>
        <w:right w:val="none" w:sz="0" w:space="0" w:color="auto"/>
      </w:divBdr>
    </w:div>
    <w:div w:id="1307247837">
      <w:bodyDiv w:val="1"/>
      <w:marLeft w:val="0"/>
      <w:marRight w:val="0"/>
      <w:marTop w:val="0"/>
      <w:marBottom w:val="0"/>
      <w:divBdr>
        <w:top w:val="none" w:sz="0" w:space="0" w:color="auto"/>
        <w:left w:val="none" w:sz="0" w:space="0" w:color="auto"/>
        <w:bottom w:val="none" w:sz="0" w:space="0" w:color="auto"/>
        <w:right w:val="none" w:sz="0" w:space="0" w:color="auto"/>
      </w:divBdr>
    </w:div>
    <w:div w:id="1317879843">
      <w:bodyDiv w:val="1"/>
      <w:marLeft w:val="0"/>
      <w:marRight w:val="0"/>
      <w:marTop w:val="0"/>
      <w:marBottom w:val="0"/>
      <w:divBdr>
        <w:top w:val="none" w:sz="0" w:space="0" w:color="auto"/>
        <w:left w:val="none" w:sz="0" w:space="0" w:color="auto"/>
        <w:bottom w:val="none" w:sz="0" w:space="0" w:color="auto"/>
        <w:right w:val="none" w:sz="0" w:space="0" w:color="auto"/>
      </w:divBdr>
    </w:div>
    <w:div w:id="1320427373">
      <w:bodyDiv w:val="1"/>
      <w:marLeft w:val="0"/>
      <w:marRight w:val="0"/>
      <w:marTop w:val="0"/>
      <w:marBottom w:val="0"/>
      <w:divBdr>
        <w:top w:val="none" w:sz="0" w:space="0" w:color="auto"/>
        <w:left w:val="none" w:sz="0" w:space="0" w:color="auto"/>
        <w:bottom w:val="none" w:sz="0" w:space="0" w:color="auto"/>
        <w:right w:val="none" w:sz="0" w:space="0" w:color="auto"/>
      </w:divBdr>
    </w:div>
    <w:div w:id="1330670567">
      <w:bodyDiv w:val="1"/>
      <w:marLeft w:val="0"/>
      <w:marRight w:val="0"/>
      <w:marTop w:val="0"/>
      <w:marBottom w:val="0"/>
      <w:divBdr>
        <w:top w:val="none" w:sz="0" w:space="0" w:color="auto"/>
        <w:left w:val="none" w:sz="0" w:space="0" w:color="auto"/>
        <w:bottom w:val="none" w:sz="0" w:space="0" w:color="auto"/>
        <w:right w:val="none" w:sz="0" w:space="0" w:color="auto"/>
      </w:divBdr>
    </w:div>
    <w:div w:id="1345203698">
      <w:bodyDiv w:val="1"/>
      <w:marLeft w:val="0"/>
      <w:marRight w:val="0"/>
      <w:marTop w:val="0"/>
      <w:marBottom w:val="400"/>
      <w:divBdr>
        <w:top w:val="none" w:sz="0" w:space="0" w:color="auto"/>
        <w:left w:val="none" w:sz="0" w:space="0" w:color="auto"/>
        <w:bottom w:val="none" w:sz="0" w:space="0" w:color="auto"/>
        <w:right w:val="none" w:sz="0" w:space="0" w:color="auto"/>
      </w:divBdr>
      <w:divsChild>
        <w:div w:id="190608571">
          <w:marLeft w:val="0"/>
          <w:marRight w:val="0"/>
          <w:marTop w:val="0"/>
          <w:marBottom w:val="0"/>
          <w:divBdr>
            <w:top w:val="none" w:sz="0" w:space="0" w:color="auto"/>
            <w:left w:val="none" w:sz="0" w:space="0" w:color="auto"/>
            <w:bottom w:val="none" w:sz="0" w:space="0" w:color="auto"/>
            <w:right w:val="none" w:sz="0" w:space="0" w:color="auto"/>
          </w:divBdr>
          <w:divsChild>
            <w:div w:id="1934512964">
              <w:marLeft w:val="0"/>
              <w:marRight w:val="0"/>
              <w:marTop w:val="0"/>
              <w:marBottom w:val="0"/>
              <w:divBdr>
                <w:top w:val="none" w:sz="0" w:space="0" w:color="auto"/>
                <w:left w:val="none" w:sz="0" w:space="0" w:color="auto"/>
                <w:bottom w:val="none" w:sz="0" w:space="0" w:color="auto"/>
                <w:right w:val="none" w:sz="0" w:space="0" w:color="auto"/>
              </w:divBdr>
              <w:divsChild>
                <w:div w:id="762070331">
                  <w:marLeft w:val="0"/>
                  <w:marRight w:val="0"/>
                  <w:marTop w:val="0"/>
                  <w:marBottom w:val="0"/>
                  <w:divBdr>
                    <w:top w:val="none" w:sz="0" w:space="0" w:color="auto"/>
                    <w:left w:val="none" w:sz="0" w:space="0" w:color="auto"/>
                    <w:bottom w:val="none" w:sz="0" w:space="0" w:color="auto"/>
                    <w:right w:val="none" w:sz="0" w:space="0" w:color="auto"/>
                  </w:divBdr>
                  <w:divsChild>
                    <w:div w:id="1254514809">
                      <w:marLeft w:val="0"/>
                      <w:marRight w:val="0"/>
                      <w:marTop w:val="0"/>
                      <w:marBottom w:val="0"/>
                      <w:divBdr>
                        <w:top w:val="none" w:sz="0" w:space="0" w:color="auto"/>
                        <w:left w:val="none" w:sz="0" w:space="0" w:color="auto"/>
                        <w:bottom w:val="none" w:sz="0" w:space="0" w:color="auto"/>
                        <w:right w:val="none" w:sz="0" w:space="0" w:color="auto"/>
                      </w:divBdr>
                      <w:divsChild>
                        <w:div w:id="465393422">
                          <w:marLeft w:val="0"/>
                          <w:marRight w:val="0"/>
                          <w:marTop w:val="0"/>
                          <w:marBottom w:val="0"/>
                          <w:divBdr>
                            <w:top w:val="none" w:sz="0" w:space="0" w:color="auto"/>
                            <w:left w:val="none" w:sz="0" w:space="0" w:color="auto"/>
                            <w:bottom w:val="none" w:sz="0" w:space="0" w:color="auto"/>
                            <w:right w:val="none" w:sz="0" w:space="0" w:color="auto"/>
                          </w:divBdr>
                          <w:divsChild>
                            <w:div w:id="439379676">
                              <w:marLeft w:val="0"/>
                              <w:marRight w:val="0"/>
                              <w:marTop w:val="0"/>
                              <w:marBottom w:val="0"/>
                              <w:divBdr>
                                <w:top w:val="none" w:sz="0" w:space="0" w:color="auto"/>
                                <w:left w:val="none" w:sz="0" w:space="0" w:color="auto"/>
                                <w:bottom w:val="none" w:sz="0" w:space="0" w:color="auto"/>
                                <w:right w:val="none" w:sz="0" w:space="0" w:color="auto"/>
                              </w:divBdr>
                              <w:divsChild>
                                <w:div w:id="407848785">
                                  <w:marLeft w:val="0"/>
                                  <w:marRight w:val="0"/>
                                  <w:marTop w:val="0"/>
                                  <w:marBottom w:val="0"/>
                                  <w:divBdr>
                                    <w:top w:val="none" w:sz="0" w:space="0" w:color="auto"/>
                                    <w:left w:val="none" w:sz="0" w:space="0" w:color="auto"/>
                                    <w:bottom w:val="none" w:sz="0" w:space="0" w:color="auto"/>
                                    <w:right w:val="none" w:sz="0" w:space="0" w:color="auto"/>
                                  </w:divBdr>
                                  <w:divsChild>
                                    <w:div w:id="973099581">
                                      <w:marLeft w:val="0"/>
                                      <w:marRight w:val="0"/>
                                      <w:marTop w:val="0"/>
                                      <w:marBottom w:val="0"/>
                                      <w:divBdr>
                                        <w:top w:val="none" w:sz="0" w:space="0" w:color="auto"/>
                                        <w:left w:val="none" w:sz="0" w:space="0" w:color="auto"/>
                                        <w:bottom w:val="none" w:sz="0" w:space="0" w:color="auto"/>
                                        <w:right w:val="none" w:sz="0" w:space="0" w:color="auto"/>
                                      </w:divBdr>
                                      <w:divsChild>
                                        <w:div w:id="401875421">
                                          <w:marLeft w:val="0"/>
                                          <w:marRight w:val="0"/>
                                          <w:marTop w:val="0"/>
                                          <w:marBottom w:val="0"/>
                                          <w:divBdr>
                                            <w:top w:val="none" w:sz="0" w:space="0" w:color="auto"/>
                                            <w:left w:val="none" w:sz="0" w:space="0" w:color="auto"/>
                                            <w:bottom w:val="none" w:sz="0" w:space="0" w:color="auto"/>
                                            <w:right w:val="none" w:sz="0" w:space="0" w:color="auto"/>
                                          </w:divBdr>
                                          <w:divsChild>
                                            <w:div w:id="1366294709">
                                              <w:marLeft w:val="0"/>
                                              <w:marRight w:val="0"/>
                                              <w:marTop w:val="0"/>
                                              <w:marBottom w:val="0"/>
                                              <w:divBdr>
                                                <w:top w:val="none" w:sz="0" w:space="0" w:color="auto"/>
                                                <w:left w:val="none" w:sz="0" w:space="0" w:color="auto"/>
                                                <w:bottom w:val="none" w:sz="0" w:space="0" w:color="auto"/>
                                                <w:right w:val="none" w:sz="0" w:space="0" w:color="auto"/>
                                              </w:divBdr>
                                              <w:divsChild>
                                                <w:div w:id="759451702">
                                                  <w:marLeft w:val="0"/>
                                                  <w:marRight w:val="0"/>
                                                  <w:marTop w:val="0"/>
                                                  <w:marBottom w:val="0"/>
                                                  <w:divBdr>
                                                    <w:top w:val="none" w:sz="0" w:space="0" w:color="auto"/>
                                                    <w:left w:val="none" w:sz="0" w:space="0" w:color="auto"/>
                                                    <w:bottom w:val="none" w:sz="0" w:space="0" w:color="auto"/>
                                                    <w:right w:val="none" w:sz="0" w:space="0" w:color="auto"/>
                                                  </w:divBdr>
                                                  <w:divsChild>
                                                    <w:div w:id="1507748936">
                                                      <w:marLeft w:val="0"/>
                                                      <w:marRight w:val="0"/>
                                                      <w:marTop w:val="0"/>
                                                      <w:marBottom w:val="0"/>
                                                      <w:divBdr>
                                                        <w:top w:val="none" w:sz="0" w:space="0" w:color="auto"/>
                                                        <w:left w:val="none" w:sz="0" w:space="0" w:color="auto"/>
                                                        <w:bottom w:val="none" w:sz="0" w:space="0" w:color="auto"/>
                                                        <w:right w:val="none" w:sz="0" w:space="0" w:color="auto"/>
                                                      </w:divBdr>
                                                      <w:divsChild>
                                                        <w:div w:id="1032879765">
                                                          <w:marLeft w:val="0"/>
                                                          <w:marRight w:val="0"/>
                                                          <w:marTop w:val="0"/>
                                                          <w:marBottom w:val="0"/>
                                                          <w:divBdr>
                                                            <w:top w:val="none" w:sz="0" w:space="0" w:color="auto"/>
                                                            <w:left w:val="none" w:sz="0" w:space="0" w:color="auto"/>
                                                            <w:bottom w:val="none" w:sz="0" w:space="0" w:color="auto"/>
                                                            <w:right w:val="none" w:sz="0" w:space="0" w:color="auto"/>
                                                          </w:divBdr>
                                                          <w:divsChild>
                                                            <w:div w:id="352004190">
                                                              <w:marLeft w:val="0"/>
                                                              <w:marRight w:val="0"/>
                                                              <w:marTop w:val="0"/>
                                                              <w:marBottom w:val="0"/>
                                                              <w:divBdr>
                                                                <w:top w:val="none" w:sz="0" w:space="0" w:color="auto"/>
                                                                <w:left w:val="none" w:sz="0" w:space="0" w:color="auto"/>
                                                                <w:bottom w:val="none" w:sz="0" w:space="0" w:color="auto"/>
                                                                <w:right w:val="none" w:sz="0" w:space="0" w:color="auto"/>
                                                              </w:divBdr>
                                                              <w:divsChild>
                                                                <w:div w:id="2117089641">
                                                                  <w:marLeft w:val="0"/>
                                                                  <w:marRight w:val="0"/>
                                                                  <w:marTop w:val="0"/>
                                                                  <w:marBottom w:val="0"/>
                                                                  <w:divBdr>
                                                                    <w:top w:val="none" w:sz="0" w:space="0" w:color="auto"/>
                                                                    <w:left w:val="none" w:sz="0" w:space="0" w:color="auto"/>
                                                                    <w:bottom w:val="none" w:sz="0" w:space="0" w:color="auto"/>
                                                                    <w:right w:val="none" w:sz="0" w:space="0" w:color="auto"/>
                                                                  </w:divBdr>
                                                                  <w:divsChild>
                                                                    <w:div w:id="891044468">
                                                                      <w:marLeft w:val="0"/>
                                                                      <w:marRight w:val="0"/>
                                                                      <w:marTop w:val="0"/>
                                                                      <w:marBottom w:val="0"/>
                                                                      <w:divBdr>
                                                                        <w:top w:val="none" w:sz="0" w:space="0" w:color="auto"/>
                                                                        <w:left w:val="none" w:sz="0" w:space="0" w:color="auto"/>
                                                                        <w:bottom w:val="none" w:sz="0" w:space="0" w:color="auto"/>
                                                                        <w:right w:val="none" w:sz="0" w:space="0" w:color="auto"/>
                                                                      </w:divBdr>
                                                                      <w:divsChild>
                                                                        <w:div w:id="15313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000331">
      <w:bodyDiv w:val="1"/>
      <w:marLeft w:val="0"/>
      <w:marRight w:val="0"/>
      <w:marTop w:val="0"/>
      <w:marBottom w:val="0"/>
      <w:divBdr>
        <w:top w:val="none" w:sz="0" w:space="0" w:color="auto"/>
        <w:left w:val="none" w:sz="0" w:space="0" w:color="auto"/>
        <w:bottom w:val="none" w:sz="0" w:space="0" w:color="auto"/>
        <w:right w:val="none" w:sz="0" w:space="0" w:color="auto"/>
      </w:divBdr>
    </w:div>
    <w:div w:id="1390152899">
      <w:bodyDiv w:val="1"/>
      <w:marLeft w:val="0"/>
      <w:marRight w:val="0"/>
      <w:marTop w:val="0"/>
      <w:marBottom w:val="0"/>
      <w:divBdr>
        <w:top w:val="none" w:sz="0" w:space="0" w:color="auto"/>
        <w:left w:val="none" w:sz="0" w:space="0" w:color="auto"/>
        <w:bottom w:val="none" w:sz="0" w:space="0" w:color="auto"/>
        <w:right w:val="none" w:sz="0" w:space="0" w:color="auto"/>
      </w:divBdr>
    </w:div>
    <w:div w:id="1404522281">
      <w:bodyDiv w:val="1"/>
      <w:marLeft w:val="0"/>
      <w:marRight w:val="0"/>
      <w:marTop w:val="0"/>
      <w:marBottom w:val="0"/>
      <w:divBdr>
        <w:top w:val="none" w:sz="0" w:space="0" w:color="auto"/>
        <w:left w:val="none" w:sz="0" w:space="0" w:color="auto"/>
        <w:bottom w:val="none" w:sz="0" w:space="0" w:color="auto"/>
        <w:right w:val="none" w:sz="0" w:space="0" w:color="auto"/>
      </w:divBdr>
    </w:div>
    <w:div w:id="1411656771">
      <w:bodyDiv w:val="1"/>
      <w:marLeft w:val="0"/>
      <w:marRight w:val="0"/>
      <w:marTop w:val="0"/>
      <w:marBottom w:val="0"/>
      <w:divBdr>
        <w:top w:val="none" w:sz="0" w:space="0" w:color="auto"/>
        <w:left w:val="none" w:sz="0" w:space="0" w:color="auto"/>
        <w:bottom w:val="none" w:sz="0" w:space="0" w:color="auto"/>
        <w:right w:val="none" w:sz="0" w:space="0" w:color="auto"/>
      </w:divBdr>
    </w:div>
    <w:div w:id="1418019723">
      <w:bodyDiv w:val="1"/>
      <w:marLeft w:val="0"/>
      <w:marRight w:val="0"/>
      <w:marTop w:val="0"/>
      <w:marBottom w:val="0"/>
      <w:divBdr>
        <w:top w:val="none" w:sz="0" w:space="0" w:color="auto"/>
        <w:left w:val="none" w:sz="0" w:space="0" w:color="auto"/>
        <w:bottom w:val="none" w:sz="0" w:space="0" w:color="auto"/>
        <w:right w:val="none" w:sz="0" w:space="0" w:color="auto"/>
      </w:divBdr>
    </w:div>
    <w:div w:id="1429153301">
      <w:bodyDiv w:val="1"/>
      <w:marLeft w:val="0"/>
      <w:marRight w:val="0"/>
      <w:marTop w:val="0"/>
      <w:marBottom w:val="0"/>
      <w:divBdr>
        <w:top w:val="none" w:sz="0" w:space="0" w:color="auto"/>
        <w:left w:val="none" w:sz="0" w:space="0" w:color="auto"/>
        <w:bottom w:val="none" w:sz="0" w:space="0" w:color="auto"/>
        <w:right w:val="none" w:sz="0" w:space="0" w:color="auto"/>
      </w:divBdr>
    </w:div>
    <w:div w:id="1446193172">
      <w:bodyDiv w:val="1"/>
      <w:marLeft w:val="0"/>
      <w:marRight w:val="0"/>
      <w:marTop w:val="0"/>
      <w:marBottom w:val="0"/>
      <w:divBdr>
        <w:top w:val="none" w:sz="0" w:space="0" w:color="auto"/>
        <w:left w:val="none" w:sz="0" w:space="0" w:color="auto"/>
        <w:bottom w:val="none" w:sz="0" w:space="0" w:color="auto"/>
        <w:right w:val="none" w:sz="0" w:space="0" w:color="auto"/>
      </w:divBdr>
    </w:div>
    <w:div w:id="1451437983">
      <w:bodyDiv w:val="1"/>
      <w:marLeft w:val="0"/>
      <w:marRight w:val="0"/>
      <w:marTop w:val="0"/>
      <w:marBottom w:val="0"/>
      <w:divBdr>
        <w:top w:val="none" w:sz="0" w:space="0" w:color="auto"/>
        <w:left w:val="none" w:sz="0" w:space="0" w:color="auto"/>
        <w:bottom w:val="none" w:sz="0" w:space="0" w:color="auto"/>
        <w:right w:val="none" w:sz="0" w:space="0" w:color="auto"/>
      </w:divBdr>
    </w:div>
    <w:div w:id="1463688741">
      <w:bodyDiv w:val="1"/>
      <w:marLeft w:val="0"/>
      <w:marRight w:val="0"/>
      <w:marTop w:val="0"/>
      <w:marBottom w:val="0"/>
      <w:divBdr>
        <w:top w:val="none" w:sz="0" w:space="0" w:color="auto"/>
        <w:left w:val="none" w:sz="0" w:space="0" w:color="auto"/>
        <w:bottom w:val="none" w:sz="0" w:space="0" w:color="auto"/>
        <w:right w:val="none" w:sz="0" w:space="0" w:color="auto"/>
      </w:divBdr>
    </w:div>
    <w:div w:id="1491217075">
      <w:bodyDiv w:val="1"/>
      <w:marLeft w:val="0"/>
      <w:marRight w:val="0"/>
      <w:marTop w:val="0"/>
      <w:marBottom w:val="0"/>
      <w:divBdr>
        <w:top w:val="none" w:sz="0" w:space="0" w:color="auto"/>
        <w:left w:val="none" w:sz="0" w:space="0" w:color="auto"/>
        <w:bottom w:val="none" w:sz="0" w:space="0" w:color="auto"/>
        <w:right w:val="none" w:sz="0" w:space="0" w:color="auto"/>
      </w:divBdr>
    </w:div>
    <w:div w:id="1498882106">
      <w:bodyDiv w:val="1"/>
      <w:marLeft w:val="0"/>
      <w:marRight w:val="0"/>
      <w:marTop w:val="0"/>
      <w:marBottom w:val="0"/>
      <w:divBdr>
        <w:top w:val="none" w:sz="0" w:space="0" w:color="auto"/>
        <w:left w:val="none" w:sz="0" w:space="0" w:color="auto"/>
        <w:bottom w:val="none" w:sz="0" w:space="0" w:color="auto"/>
        <w:right w:val="none" w:sz="0" w:space="0" w:color="auto"/>
      </w:divBdr>
    </w:div>
    <w:div w:id="1505319188">
      <w:bodyDiv w:val="1"/>
      <w:marLeft w:val="0"/>
      <w:marRight w:val="0"/>
      <w:marTop w:val="0"/>
      <w:marBottom w:val="0"/>
      <w:divBdr>
        <w:top w:val="none" w:sz="0" w:space="0" w:color="auto"/>
        <w:left w:val="none" w:sz="0" w:space="0" w:color="auto"/>
        <w:bottom w:val="none" w:sz="0" w:space="0" w:color="auto"/>
        <w:right w:val="none" w:sz="0" w:space="0" w:color="auto"/>
      </w:divBdr>
      <w:divsChild>
        <w:div w:id="872427098">
          <w:marLeft w:val="0"/>
          <w:marRight w:val="0"/>
          <w:marTop w:val="0"/>
          <w:marBottom w:val="0"/>
          <w:divBdr>
            <w:top w:val="none" w:sz="0" w:space="0" w:color="auto"/>
            <w:left w:val="none" w:sz="0" w:space="0" w:color="auto"/>
            <w:bottom w:val="none" w:sz="0" w:space="0" w:color="auto"/>
            <w:right w:val="none" w:sz="0" w:space="0" w:color="auto"/>
          </w:divBdr>
          <w:divsChild>
            <w:div w:id="1672178383">
              <w:marLeft w:val="0"/>
              <w:marRight w:val="0"/>
              <w:marTop w:val="0"/>
              <w:marBottom w:val="0"/>
              <w:divBdr>
                <w:top w:val="none" w:sz="0" w:space="0" w:color="auto"/>
                <w:left w:val="none" w:sz="0" w:space="0" w:color="auto"/>
                <w:bottom w:val="none" w:sz="0" w:space="0" w:color="auto"/>
                <w:right w:val="none" w:sz="0" w:space="0" w:color="auto"/>
              </w:divBdr>
              <w:divsChild>
                <w:div w:id="1028526754">
                  <w:marLeft w:val="0"/>
                  <w:marRight w:val="0"/>
                  <w:marTop w:val="0"/>
                  <w:marBottom w:val="0"/>
                  <w:divBdr>
                    <w:top w:val="none" w:sz="0" w:space="0" w:color="auto"/>
                    <w:left w:val="none" w:sz="0" w:space="0" w:color="auto"/>
                    <w:bottom w:val="none" w:sz="0" w:space="0" w:color="auto"/>
                    <w:right w:val="none" w:sz="0" w:space="0" w:color="auto"/>
                  </w:divBdr>
                  <w:divsChild>
                    <w:div w:id="323708653">
                      <w:marLeft w:val="0"/>
                      <w:marRight w:val="0"/>
                      <w:marTop w:val="0"/>
                      <w:marBottom w:val="0"/>
                      <w:divBdr>
                        <w:top w:val="none" w:sz="0" w:space="0" w:color="auto"/>
                        <w:left w:val="none" w:sz="0" w:space="0" w:color="auto"/>
                        <w:bottom w:val="none" w:sz="0" w:space="0" w:color="auto"/>
                        <w:right w:val="none" w:sz="0" w:space="0" w:color="auto"/>
                      </w:divBdr>
                      <w:divsChild>
                        <w:div w:id="18393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83198">
      <w:bodyDiv w:val="1"/>
      <w:marLeft w:val="0"/>
      <w:marRight w:val="0"/>
      <w:marTop w:val="0"/>
      <w:marBottom w:val="0"/>
      <w:divBdr>
        <w:top w:val="none" w:sz="0" w:space="0" w:color="auto"/>
        <w:left w:val="none" w:sz="0" w:space="0" w:color="auto"/>
        <w:bottom w:val="none" w:sz="0" w:space="0" w:color="auto"/>
        <w:right w:val="none" w:sz="0" w:space="0" w:color="auto"/>
      </w:divBdr>
    </w:div>
    <w:div w:id="1513226769">
      <w:bodyDiv w:val="1"/>
      <w:marLeft w:val="0"/>
      <w:marRight w:val="0"/>
      <w:marTop w:val="0"/>
      <w:marBottom w:val="0"/>
      <w:divBdr>
        <w:top w:val="none" w:sz="0" w:space="0" w:color="auto"/>
        <w:left w:val="none" w:sz="0" w:space="0" w:color="auto"/>
        <w:bottom w:val="none" w:sz="0" w:space="0" w:color="auto"/>
        <w:right w:val="none" w:sz="0" w:space="0" w:color="auto"/>
      </w:divBdr>
    </w:div>
    <w:div w:id="1514222849">
      <w:bodyDiv w:val="1"/>
      <w:marLeft w:val="0"/>
      <w:marRight w:val="0"/>
      <w:marTop w:val="0"/>
      <w:marBottom w:val="0"/>
      <w:divBdr>
        <w:top w:val="none" w:sz="0" w:space="0" w:color="auto"/>
        <w:left w:val="none" w:sz="0" w:space="0" w:color="auto"/>
        <w:bottom w:val="none" w:sz="0" w:space="0" w:color="auto"/>
        <w:right w:val="none" w:sz="0" w:space="0" w:color="auto"/>
      </w:divBdr>
    </w:div>
    <w:div w:id="1514296919">
      <w:bodyDiv w:val="1"/>
      <w:marLeft w:val="0"/>
      <w:marRight w:val="0"/>
      <w:marTop w:val="0"/>
      <w:marBottom w:val="0"/>
      <w:divBdr>
        <w:top w:val="none" w:sz="0" w:space="0" w:color="auto"/>
        <w:left w:val="none" w:sz="0" w:space="0" w:color="auto"/>
        <w:bottom w:val="none" w:sz="0" w:space="0" w:color="auto"/>
        <w:right w:val="none" w:sz="0" w:space="0" w:color="auto"/>
      </w:divBdr>
    </w:div>
    <w:div w:id="1530338764">
      <w:bodyDiv w:val="1"/>
      <w:marLeft w:val="0"/>
      <w:marRight w:val="0"/>
      <w:marTop w:val="0"/>
      <w:marBottom w:val="0"/>
      <w:divBdr>
        <w:top w:val="none" w:sz="0" w:space="0" w:color="auto"/>
        <w:left w:val="none" w:sz="0" w:space="0" w:color="auto"/>
        <w:bottom w:val="none" w:sz="0" w:space="0" w:color="auto"/>
        <w:right w:val="none" w:sz="0" w:space="0" w:color="auto"/>
      </w:divBdr>
    </w:div>
    <w:div w:id="1537231821">
      <w:bodyDiv w:val="1"/>
      <w:marLeft w:val="0"/>
      <w:marRight w:val="0"/>
      <w:marTop w:val="0"/>
      <w:marBottom w:val="0"/>
      <w:divBdr>
        <w:top w:val="none" w:sz="0" w:space="0" w:color="auto"/>
        <w:left w:val="none" w:sz="0" w:space="0" w:color="auto"/>
        <w:bottom w:val="none" w:sz="0" w:space="0" w:color="auto"/>
        <w:right w:val="none" w:sz="0" w:space="0" w:color="auto"/>
      </w:divBdr>
    </w:div>
    <w:div w:id="1553344940">
      <w:bodyDiv w:val="1"/>
      <w:marLeft w:val="0"/>
      <w:marRight w:val="0"/>
      <w:marTop w:val="0"/>
      <w:marBottom w:val="0"/>
      <w:divBdr>
        <w:top w:val="none" w:sz="0" w:space="0" w:color="auto"/>
        <w:left w:val="none" w:sz="0" w:space="0" w:color="auto"/>
        <w:bottom w:val="none" w:sz="0" w:space="0" w:color="auto"/>
        <w:right w:val="none" w:sz="0" w:space="0" w:color="auto"/>
      </w:divBdr>
    </w:div>
    <w:div w:id="1565024525">
      <w:bodyDiv w:val="1"/>
      <w:marLeft w:val="0"/>
      <w:marRight w:val="0"/>
      <w:marTop w:val="0"/>
      <w:marBottom w:val="0"/>
      <w:divBdr>
        <w:top w:val="none" w:sz="0" w:space="0" w:color="auto"/>
        <w:left w:val="none" w:sz="0" w:space="0" w:color="auto"/>
        <w:bottom w:val="none" w:sz="0" w:space="0" w:color="auto"/>
        <w:right w:val="none" w:sz="0" w:space="0" w:color="auto"/>
      </w:divBdr>
      <w:divsChild>
        <w:div w:id="926230326">
          <w:marLeft w:val="0"/>
          <w:marRight w:val="0"/>
          <w:marTop w:val="0"/>
          <w:marBottom w:val="0"/>
          <w:divBdr>
            <w:top w:val="none" w:sz="0" w:space="0" w:color="auto"/>
            <w:left w:val="none" w:sz="0" w:space="0" w:color="auto"/>
            <w:bottom w:val="none" w:sz="0" w:space="0" w:color="auto"/>
            <w:right w:val="none" w:sz="0" w:space="0" w:color="auto"/>
          </w:divBdr>
        </w:div>
      </w:divsChild>
    </w:div>
    <w:div w:id="1575777338">
      <w:bodyDiv w:val="1"/>
      <w:marLeft w:val="0"/>
      <w:marRight w:val="0"/>
      <w:marTop w:val="0"/>
      <w:marBottom w:val="0"/>
      <w:divBdr>
        <w:top w:val="none" w:sz="0" w:space="0" w:color="auto"/>
        <w:left w:val="none" w:sz="0" w:space="0" w:color="auto"/>
        <w:bottom w:val="none" w:sz="0" w:space="0" w:color="auto"/>
        <w:right w:val="none" w:sz="0" w:space="0" w:color="auto"/>
      </w:divBdr>
    </w:div>
    <w:div w:id="1585643794">
      <w:bodyDiv w:val="1"/>
      <w:marLeft w:val="0"/>
      <w:marRight w:val="0"/>
      <w:marTop w:val="0"/>
      <w:marBottom w:val="0"/>
      <w:divBdr>
        <w:top w:val="none" w:sz="0" w:space="0" w:color="auto"/>
        <w:left w:val="none" w:sz="0" w:space="0" w:color="auto"/>
        <w:bottom w:val="none" w:sz="0" w:space="0" w:color="auto"/>
        <w:right w:val="none" w:sz="0" w:space="0" w:color="auto"/>
      </w:divBdr>
    </w:div>
    <w:div w:id="1589655311">
      <w:bodyDiv w:val="1"/>
      <w:marLeft w:val="0"/>
      <w:marRight w:val="0"/>
      <w:marTop w:val="0"/>
      <w:marBottom w:val="0"/>
      <w:divBdr>
        <w:top w:val="none" w:sz="0" w:space="0" w:color="auto"/>
        <w:left w:val="none" w:sz="0" w:space="0" w:color="auto"/>
        <w:bottom w:val="none" w:sz="0" w:space="0" w:color="auto"/>
        <w:right w:val="none" w:sz="0" w:space="0" w:color="auto"/>
      </w:divBdr>
    </w:div>
    <w:div w:id="1597053356">
      <w:bodyDiv w:val="1"/>
      <w:marLeft w:val="0"/>
      <w:marRight w:val="0"/>
      <w:marTop w:val="0"/>
      <w:marBottom w:val="0"/>
      <w:divBdr>
        <w:top w:val="none" w:sz="0" w:space="0" w:color="auto"/>
        <w:left w:val="none" w:sz="0" w:space="0" w:color="auto"/>
        <w:bottom w:val="none" w:sz="0" w:space="0" w:color="auto"/>
        <w:right w:val="none" w:sz="0" w:space="0" w:color="auto"/>
      </w:divBdr>
    </w:div>
    <w:div w:id="1615945468">
      <w:bodyDiv w:val="1"/>
      <w:marLeft w:val="0"/>
      <w:marRight w:val="0"/>
      <w:marTop w:val="0"/>
      <w:marBottom w:val="0"/>
      <w:divBdr>
        <w:top w:val="none" w:sz="0" w:space="0" w:color="auto"/>
        <w:left w:val="none" w:sz="0" w:space="0" w:color="auto"/>
        <w:bottom w:val="none" w:sz="0" w:space="0" w:color="auto"/>
        <w:right w:val="none" w:sz="0" w:space="0" w:color="auto"/>
      </w:divBdr>
    </w:div>
    <w:div w:id="1625580183">
      <w:bodyDiv w:val="1"/>
      <w:marLeft w:val="0"/>
      <w:marRight w:val="0"/>
      <w:marTop w:val="0"/>
      <w:marBottom w:val="0"/>
      <w:divBdr>
        <w:top w:val="none" w:sz="0" w:space="0" w:color="auto"/>
        <w:left w:val="none" w:sz="0" w:space="0" w:color="auto"/>
        <w:bottom w:val="none" w:sz="0" w:space="0" w:color="auto"/>
        <w:right w:val="none" w:sz="0" w:space="0" w:color="auto"/>
      </w:divBdr>
    </w:div>
    <w:div w:id="1639383047">
      <w:bodyDiv w:val="1"/>
      <w:marLeft w:val="0"/>
      <w:marRight w:val="0"/>
      <w:marTop w:val="0"/>
      <w:marBottom w:val="0"/>
      <w:divBdr>
        <w:top w:val="none" w:sz="0" w:space="0" w:color="auto"/>
        <w:left w:val="none" w:sz="0" w:space="0" w:color="auto"/>
        <w:bottom w:val="none" w:sz="0" w:space="0" w:color="auto"/>
        <w:right w:val="none" w:sz="0" w:space="0" w:color="auto"/>
      </w:divBdr>
    </w:div>
    <w:div w:id="1654796206">
      <w:bodyDiv w:val="1"/>
      <w:marLeft w:val="0"/>
      <w:marRight w:val="0"/>
      <w:marTop w:val="0"/>
      <w:marBottom w:val="0"/>
      <w:divBdr>
        <w:top w:val="none" w:sz="0" w:space="0" w:color="auto"/>
        <w:left w:val="none" w:sz="0" w:space="0" w:color="auto"/>
        <w:bottom w:val="none" w:sz="0" w:space="0" w:color="auto"/>
        <w:right w:val="none" w:sz="0" w:space="0" w:color="auto"/>
      </w:divBdr>
      <w:divsChild>
        <w:div w:id="1075669796">
          <w:marLeft w:val="0"/>
          <w:marRight w:val="0"/>
          <w:marTop w:val="0"/>
          <w:marBottom w:val="0"/>
          <w:divBdr>
            <w:top w:val="none" w:sz="0" w:space="0" w:color="auto"/>
            <w:left w:val="none" w:sz="0" w:space="0" w:color="auto"/>
            <w:bottom w:val="none" w:sz="0" w:space="0" w:color="auto"/>
            <w:right w:val="none" w:sz="0" w:space="0" w:color="auto"/>
          </w:divBdr>
          <w:divsChild>
            <w:div w:id="1970699985">
              <w:marLeft w:val="0"/>
              <w:marRight w:val="0"/>
              <w:marTop w:val="0"/>
              <w:marBottom w:val="0"/>
              <w:divBdr>
                <w:top w:val="none" w:sz="0" w:space="0" w:color="auto"/>
                <w:left w:val="none" w:sz="0" w:space="0" w:color="auto"/>
                <w:bottom w:val="none" w:sz="0" w:space="0" w:color="auto"/>
                <w:right w:val="none" w:sz="0" w:space="0" w:color="auto"/>
              </w:divBdr>
              <w:divsChild>
                <w:div w:id="742994744">
                  <w:marLeft w:val="0"/>
                  <w:marRight w:val="0"/>
                  <w:marTop w:val="0"/>
                  <w:marBottom w:val="0"/>
                  <w:divBdr>
                    <w:top w:val="none" w:sz="0" w:space="0" w:color="auto"/>
                    <w:left w:val="none" w:sz="0" w:space="0" w:color="auto"/>
                    <w:bottom w:val="none" w:sz="0" w:space="0" w:color="auto"/>
                    <w:right w:val="none" w:sz="0" w:space="0" w:color="auto"/>
                  </w:divBdr>
                  <w:divsChild>
                    <w:div w:id="1418406983">
                      <w:marLeft w:val="0"/>
                      <w:marRight w:val="0"/>
                      <w:marTop w:val="0"/>
                      <w:marBottom w:val="0"/>
                      <w:divBdr>
                        <w:top w:val="none" w:sz="0" w:space="0" w:color="auto"/>
                        <w:left w:val="none" w:sz="0" w:space="0" w:color="auto"/>
                        <w:bottom w:val="none" w:sz="0" w:space="0" w:color="auto"/>
                        <w:right w:val="none" w:sz="0" w:space="0" w:color="auto"/>
                      </w:divBdr>
                      <w:divsChild>
                        <w:div w:id="1602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90803">
      <w:bodyDiv w:val="1"/>
      <w:marLeft w:val="0"/>
      <w:marRight w:val="0"/>
      <w:marTop w:val="0"/>
      <w:marBottom w:val="0"/>
      <w:divBdr>
        <w:top w:val="none" w:sz="0" w:space="0" w:color="auto"/>
        <w:left w:val="none" w:sz="0" w:space="0" w:color="auto"/>
        <w:bottom w:val="none" w:sz="0" w:space="0" w:color="auto"/>
        <w:right w:val="none" w:sz="0" w:space="0" w:color="auto"/>
      </w:divBdr>
    </w:div>
    <w:div w:id="1671327222">
      <w:bodyDiv w:val="1"/>
      <w:marLeft w:val="0"/>
      <w:marRight w:val="0"/>
      <w:marTop w:val="0"/>
      <w:marBottom w:val="0"/>
      <w:divBdr>
        <w:top w:val="none" w:sz="0" w:space="0" w:color="auto"/>
        <w:left w:val="none" w:sz="0" w:space="0" w:color="auto"/>
        <w:bottom w:val="none" w:sz="0" w:space="0" w:color="auto"/>
        <w:right w:val="none" w:sz="0" w:space="0" w:color="auto"/>
      </w:divBdr>
    </w:div>
    <w:div w:id="1680616743">
      <w:bodyDiv w:val="1"/>
      <w:marLeft w:val="0"/>
      <w:marRight w:val="0"/>
      <w:marTop w:val="0"/>
      <w:marBottom w:val="0"/>
      <w:divBdr>
        <w:top w:val="none" w:sz="0" w:space="0" w:color="auto"/>
        <w:left w:val="none" w:sz="0" w:space="0" w:color="auto"/>
        <w:bottom w:val="none" w:sz="0" w:space="0" w:color="auto"/>
        <w:right w:val="none" w:sz="0" w:space="0" w:color="auto"/>
      </w:divBdr>
    </w:div>
    <w:div w:id="1704550259">
      <w:bodyDiv w:val="1"/>
      <w:marLeft w:val="0"/>
      <w:marRight w:val="0"/>
      <w:marTop w:val="0"/>
      <w:marBottom w:val="0"/>
      <w:divBdr>
        <w:top w:val="none" w:sz="0" w:space="0" w:color="auto"/>
        <w:left w:val="none" w:sz="0" w:space="0" w:color="auto"/>
        <w:bottom w:val="none" w:sz="0" w:space="0" w:color="auto"/>
        <w:right w:val="none" w:sz="0" w:space="0" w:color="auto"/>
      </w:divBdr>
    </w:div>
    <w:div w:id="1704788114">
      <w:bodyDiv w:val="1"/>
      <w:marLeft w:val="0"/>
      <w:marRight w:val="0"/>
      <w:marTop w:val="0"/>
      <w:marBottom w:val="0"/>
      <w:divBdr>
        <w:top w:val="none" w:sz="0" w:space="0" w:color="auto"/>
        <w:left w:val="none" w:sz="0" w:space="0" w:color="auto"/>
        <w:bottom w:val="none" w:sz="0" w:space="0" w:color="auto"/>
        <w:right w:val="none" w:sz="0" w:space="0" w:color="auto"/>
      </w:divBdr>
    </w:div>
    <w:div w:id="1723364084">
      <w:bodyDiv w:val="1"/>
      <w:marLeft w:val="0"/>
      <w:marRight w:val="0"/>
      <w:marTop w:val="0"/>
      <w:marBottom w:val="0"/>
      <w:divBdr>
        <w:top w:val="none" w:sz="0" w:space="0" w:color="auto"/>
        <w:left w:val="none" w:sz="0" w:space="0" w:color="auto"/>
        <w:bottom w:val="none" w:sz="0" w:space="0" w:color="auto"/>
        <w:right w:val="none" w:sz="0" w:space="0" w:color="auto"/>
      </w:divBdr>
    </w:div>
    <w:div w:id="1724403470">
      <w:bodyDiv w:val="1"/>
      <w:marLeft w:val="0"/>
      <w:marRight w:val="0"/>
      <w:marTop w:val="0"/>
      <w:marBottom w:val="0"/>
      <w:divBdr>
        <w:top w:val="none" w:sz="0" w:space="0" w:color="auto"/>
        <w:left w:val="none" w:sz="0" w:space="0" w:color="auto"/>
        <w:bottom w:val="none" w:sz="0" w:space="0" w:color="auto"/>
        <w:right w:val="none" w:sz="0" w:space="0" w:color="auto"/>
      </w:divBdr>
    </w:div>
    <w:div w:id="1735809784">
      <w:bodyDiv w:val="1"/>
      <w:marLeft w:val="0"/>
      <w:marRight w:val="0"/>
      <w:marTop w:val="0"/>
      <w:marBottom w:val="0"/>
      <w:divBdr>
        <w:top w:val="none" w:sz="0" w:space="0" w:color="auto"/>
        <w:left w:val="none" w:sz="0" w:space="0" w:color="auto"/>
        <w:bottom w:val="none" w:sz="0" w:space="0" w:color="auto"/>
        <w:right w:val="none" w:sz="0" w:space="0" w:color="auto"/>
      </w:divBdr>
    </w:div>
    <w:div w:id="1741437279">
      <w:bodyDiv w:val="1"/>
      <w:marLeft w:val="0"/>
      <w:marRight w:val="0"/>
      <w:marTop w:val="0"/>
      <w:marBottom w:val="0"/>
      <w:divBdr>
        <w:top w:val="none" w:sz="0" w:space="0" w:color="auto"/>
        <w:left w:val="none" w:sz="0" w:space="0" w:color="auto"/>
        <w:bottom w:val="none" w:sz="0" w:space="0" w:color="auto"/>
        <w:right w:val="none" w:sz="0" w:space="0" w:color="auto"/>
      </w:divBdr>
    </w:div>
    <w:div w:id="1782915768">
      <w:bodyDiv w:val="1"/>
      <w:marLeft w:val="0"/>
      <w:marRight w:val="0"/>
      <w:marTop w:val="0"/>
      <w:marBottom w:val="0"/>
      <w:divBdr>
        <w:top w:val="none" w:sz="0" w:space="0" w:color="auto"/>
        <w:left w:val="none" w:sz="0" w:space="0" w:color="auto"/>
        <w:bottom w:val="none" w:sz="0" w:space="0" w:color="auto"/>
        <w:right w:val="none" w:sz="0" w:space="0" w:color="auto"/>
      </w:divBdr>
    </w:div>
    <w:div w:id="1783452636">
      <w:bodyDiv w:val="1"/>
      <w:marLeft w:val="0"/>
      <w:marRight w:val="0"/>
      <w:marTop w:val="0"/>
      <w:marBottom w:val="0"/>
      <w:divBdr>
        <w:top w:val="none" w:sz="0" w:space="0" w:color="auto"/>
        <w:left w:val="none" w:sz="0" w:space="0" w:color="auto"/>
        <w:bottom w:val="none" w:sz="0" w:space="0" w:color="auto"/>
        <w:right w:val="none" w:sz="0" w:space="0" w:color="auto"/>
      </w:divBdr>
    </w:div>
    <w:div w:id="1787578819">
      <w:bodyDiv w:val="1"/>
      <w:marLeft w:val="0"/>
      <w:marRight w:val="0"/>
      <w:marTop w:val="0"/>
      <w:marBottom w:val="0"/>
      <w:divBdr>
        <w:top w:val="none" w:sz="0" w:space="0" w:color="auto"/>
        <w:left w:val="none" w:sz="0" w:space="0" w:color="auto"/>
        <w:bottom w:val="none" w:sz="0" w:space="0" w:color="auto"/>
        <w:right w:val="none" w:sz="0" w:space="0" w:color="auto"/>
      </w:divBdr>
    </w:div>
    <w:div w:id="1798645848">
      <w:bodyDiv w:val="1"/>
      <w:marLeft w:val="0"/>
      <w:marRight w:val="0"/>
      <w:marTop w:val="0"/>
      <w:marBottom w:val="0"/>
      <w:divBdr>
        <w:top w:val="none" w:sz="0" w:space="0" w:color="auto"/>
        <w:left w:val="none" w:sz="0" w:space="0" w:color="auto"/>
        <w:bottom w:val="none" w:sz="0" w:space="0" w:color="auto"/>
        <w:right w:val="none" w:sz="0" w:space="0" w:color="auto"/>
      </w:divBdr>
    </w:div>
    <w:div w:id="1809014263">
      <w:bodyDiv w:val="1"/>
      <w:marLeft w:val="0"/>
      <w:marRight w:val="0"/>
      <w:marTop w:val="0"/>
      <w:marBottom w:val="0"/>
      <w:divBdr>
        <w:top w:val="none" w:sz="0" w:space="0" w:color="auto"/>
        <w:left w:val="none" w:sz="0" w:space="0" w:color="auto"/>
        <w:bottom w:val="none" w:sz="0" w:space="0" w:color="auto"/>
        <w:right w:val="none" w:sz="0" w:space="0" w:color="auto"/>
      </w:divBdr>
    </w:div>
    <w:div w:id="1810584137">
      <w:bodyDiv w:val="1"/>
      <w:marLeft w:val="0"/>
      <w:marRight w:val="0"/>
      <w:marTop w:val="0"/>
      <w:marBottom w:val="0"/>
      <w:divBdr>
        <w:top w:val="none" w:sz="0" w:space="0" w:color="auto"/>
        <w:left w:val="none" w:sz="0" w:space="0" w:color="auto"/>
        <w:bottom w:val="none" w:sz="0" w:space="0" w:color="auto"/>
        <w:right w:val="none" w:sz="0" w:space="0" w:color="auto"/>
      </w:divBdr>
    </w:div>
    <w:div w:id="1819761815">
      <w:bodyDiv w:val="1"/>
      <w:marLeft w:val="0"/>
      <w:marRight w:val="0"/>
      <w:marTop w:val="0"/>
      <w:marBottom w:val="0"/>
      <w:divBdr>
        <w:top w:val="none" w:sz="0" w:space="0" w:color="auto"/>
        <w:left w:val="none" w:sz="0" w:space="0" w:color="auto"/>
        <w:bottom w:val="none" w:sz="0" w:space="0" w:color="auto"/>
        <w:right w:val="none" w:sz="0" w:space="0" w:color="auto"/>
      </w:divBdr>
    </w:div>
    <w:div w:id="1827625671">
      <w:bodyDiv w:val="1"/>
      <w:marLeft w:val="0"/>
      <w:marRight w:val="0"/>
      <w:marTop w:val="0"/>
      <w:marBottom w:val="0"/>
      <w:divBdr>
        <w:top w:val="none" w:sz="0" w:space="0" w:color="auto"/>
        <w:left w:val="none" w:sz="0" w:space="0" w:color="auto"/>
        <w:bottom w:val="none" w:sz="0" w:space="0" w:color="auto"/>
        <w:right w:val="none" w:sz="0" w:space="0" w:color="auto"/>
      </w:divBdr>
    </w:div>
    <w:div w:id="1830829021">
      <w:bodyDiv w:val="1"/>
      <w:marLeft w:val="0"/>
      <w:marRight w:val="0"/>
      <w:marTop w:val="0"/>
      <w:marBottom w:val="0"/>
      <w:divBdr>
        <w:top w:val="none" w:sz="0" w:space="0" w:color="auto"/>
        <w:left w:val="none" w:sz="0" w:space="0" w:color="auto"/>
        <w:bottom w:val="none" w:sz="0" w:space="0" w:color="auto"/>
        <w:right w:val="none" w:sz="0" w:space="0" w:color="auto"/>
      </w:divBdr>
    </w:div>
    <w:div w:id="1833178942">
      <w:bodyDiv w:val="1"/>
      <w:marLeft w:val="0"/>
      <w:marRight w:val="0"/>
      <w:marTop w:val="0"/>
      <w:marBottom w:val="0"/>
      <w:divBdr>
        <w:top w:val="none" w:sz="0" w:space="0" w:color="auto"/>
        <w:left w:val="none" w:sz="0" w:space="0" w:color="auto"/>
        <w:bottom w:val="none" w:sz="0" w:space="0" w:color="auto"/>
        <w:right w:val="none" w:sz="0" w:space="0" w:color="auto"/>
      </w:divBdr>
    </w:div>
    <w:div w:id="1862547871">
      <w:bodyDiv w:val="1"/>
      <w:marLeft w:val="0"/>
      <w:marRight w:val="0"/>
      <w:marTop w:val="0"/>
      <w:marBottom w:val="0"/>
      <w:divBdr>
        <w:top w:val="none" w:sz="0" w:space="0" w:color="auto"/>
        <w:left w:val="none" w:sz="0" w:space="0" w:color="auto"/>
        <w:bottom w:val="none" w:sz="0" w:space="0" w:color="auto"/>
        <w:right w:val="none" w:sz="0" w:space="0" w:color="auto"/>
      </w:divBdr>
    </w:div>
    <w:div w:id="1890074344">
      <w:bodyDiv w:val="1"/>
      <w:marLeft w:val="0"/>
      <w:marRight w:val="0"/>
      <w:marTop w:val="0"/>
      <w:marBottom w:val="0"/>
      <w:divBdr>
        <w:top w:val="none" w:sz="0" w:space="0" w:color="auto"/>
        <w:left w:val="none" w:sz="0" w:space="0" w:color="auto"/>
        <w:bottom w:val="none" w:sz="0" w:space="0" w:color="auto"/>
        <w:right w:val="none" w:sz="0" w:space="0" w:color="auto"/>
      </w:divBdr>
    </w:div>
    <w:div w:id="1895312890">
      <w:bodyDiv w:val="1"/>
      <w:marLeft w:val="0"/>
      <w:marRight w:val="0"/>
      <w:marTop w:val="0"/>
      <w:marBottom w:val="0"/>
      <w:divBdr>
        <w:top w:val="none" w:sz="0" w:space="0" w:color="auto"/>
        <w:left w:val="none" w:sz="0" w:space="0" w:color="auto"/>
        <w:bottom w:val="none" w:sz="0" w:space="0" w:color="auto"/>
        <w:right w:val="none" w:sz="0" w:space="0" w:color="auto"/>
      </w:divBdr>
    </w:div>
    <w:div w:id="1912616383">
      <w:bodyDiv w:val="1"/>
      <w:marLeft w:val="0"/>
      <w:marRight w:val="0"/>
      <w:marTop w:val="0"/>
      <w:marBottom w:val="0"/>
      <w:divBdr>
        <w:top w:val="none" w:sz="0" w:space="0" w:color="auto"/>
        <w:left w:val="none" w:sz="0" w:space="0" w:color="auto"/>
        <w:bottom w:val="none" w:sz="0" w:space="0" w:color="auto"/>
        <w:right w:val="none" w:sz="0" w:space="0" w:color="auto"/>
      </w:divBdr>
    </w:div>
    <w:div w:id="1933319484">
      <w:bodyDiv w:val="1"/>
      <w:marLeft w:val="0"/>
      <w:marRight w:val="0"/>
      <w:marTop w:val="0"/>
      <w:marBottom w:val="0"/>
      <w:divBdr>
        <w:top w:val="none" w:sz="0" w:space="0" w:color="auto"/>
        <w:left w:val="none" w:sz="0" w:space="0" w:color="auto"/>
        <w:bottom w:val="none" w:sz="0" w:space="0" w:color="auto"/>
        <w:right w:val="none" w:sz="0" w:space="0" w:color="auto"/>
      </w:divBdr>
    </w:div>
    <w:div w:id="1939943358">
      <w:bodyDiv w:val="1"/>
      <w:marLeft w:val="0"/>
      <w:marRight w:val="0"/>
      <w:marTop w:val="0"/>
      <w:marBottom w:val="0"/>
      <w:divBdr>
        <w:top w:val="none" w:sz="0" w:space="0" w:color="auto"/>
        <w:left w:val="none" w:sz="0" w:space="0" w:color="auto"/>
        <w:bottom w:val="none" w:sz="0" w:space="0" w:color="auto"/>
        <w:right w:val="none" w:sz="0" w:space="0" w:color="auto"/>
      </w:divBdr>
    </w:div>
    <w:div w:id="1965042347">
      <w:bodyDiv w:val="1"/>
      <w:marLeft w:val="0"/>
      <w:marRight w:val="0"/>
      <w:marTop w:val="0"/>
      <w:marBottom w:val="0"/>
      <w:divBdr>
        <w:top w:val="none" w:sz="0" w:space="0" w:color="auto"/>
        <w:left w:val="none" w:sz="0" w:space="0" w:color="auto"/>
        <w:bottom w:val="none" w:sz="0" w:space="0" w:color="auto"/>
        <w:right w:val="none" w:sz="0" w:space="0" w:color="auto"/>
      </w:divBdr>
    </w:div>
    <w:div w:id="1976253764">
      <w:bodyDiv w:val="1"/>
      <w:marLeft w:val="0"/>
      <w:marRight w:val="0"/>
      <w:marTop w:val="0"/>
      <w:marBottom w:val="0"/>
      <w:divBdr>
        <w:top w:val="none" w:sz="0" w:space="0" w:color="auto"/>
        <w:left w:val="none" w:sz="0" w:space="0" w:color="auto"/>
        <w:bottom w:val="none" w:sz="0" w:space="0" w:color="auto"/>
        <w:right w:val="none" w:sz="0" w:space="0" w:color="auto"/>
      </w:divBdr>
    </w:div>
    <w:div w:id="1992782445">
      <w:bodyDiv w:val="1"/>
      <w:marLeft w:val="0"/>
      <w:marRight w:val="0"/>
      <w:marTop w:val="0"/>
      <w:marBottom w:val="0"/>
      <w:divBdr>
        <w:top w:val="none" w:sz="0" w:space="0" w:color="auto"/>
        <w:left w:val="none" w:sz="0" w:space="0" w:color="auto"/>
        <w:bottom w:val="none" w:sz="0" w:space="0" w:color="auto"/>
        <w:right w:val="none" w:sz="0" w:space="0" w:color="auto"/>
      </w:divBdr>
    </w:div>
    <w:div w:id="2027360418">
      <w:bodyDiv w:val="1"/>
      <w:marLeft w:val="0"/>
      <w:marRight w:val="0"/>
      <w:marTop w:val="0"/>
      <w:marBottom w:val="0"/>
      <w:divBdr>
        <w:top w:val="none" w:sz="0" w:space="0" w:color="auto"/>
        <w:left w:val="none" w:sz="0" w:space="0" w:color="auto"/>
        <w:bottom w:val="none" w:sz="0" w:space="0" w:color="auto"/>
        <w:right w:val="none" w:sz="0" w:space="0" w:color="auto"/>
      </w:divBdr>
    </w:div>
    <w:div w:id="2051571421">
      <w:bodyDiv w:val="1"/>
      <w:marLeft w:val="0"/>
      <w:marRight w:val="0"/>
      <w:marTop w:val="0"/>
      <w:marBottom w:val="0"/>
      <w:divBdr>
        <w:top w:val="none" w:sz="0" w:space="0" w:color="auto"/>
        <w:left w:val="none" w:sz="0" w:space="0" w:color="auto"/>
        <w:bottom w:val="none" w:sz="0" w:space="0" w:color="auto"/>
        <w:right w:val="none" w:sz="0" w:space="0" w:color="auto"/>
      </w:divBdr>
    </w:div>
    <w:div w:id="2070807943">
      <w:bodyDiv w:val="1"/>
      <w:marLeft w:val="0"/>
      <w:marRight w:val="0"/>
      <w:marTop w:val="0"/>
      <w:marBottom w:val="0"/>
      <w:divBdr>
        <w:top w:val="none" w:sz="0" w:space="0" w:color="auto"/>
        <w:left w:val="none" w:sz="0" w:space="0" w:color="auto"/>
        <w:bottom w:val="none" w:sz="0" w:space="0" w:color="auto"/>
        <w:right w:val="none" w:sz="0" w:space="0" w:color="auto"/>
      </w:divBdr>
    </w:div>
    <w:div w:id="2076931568">
      <w:bodyDiv w:val="1"/>
      <w:marLeft w:val="0"/>
      <w:marRight w:val="0"/>
      <w:marTop w:val="0"/>
      <w:marBottom w:val="0"/>
      <w:divBdr>
        <w:top w:val="none" w:sz="0" w:space="0" w:color="auto"/>
        <w:left w:val="none" w:sz="0" w:space="0" w:color="auto"/>
        <w:bottom w:val="none" w:sz="0" w:space="0" w:color="auto"/>
        <w:right w:val="none" w:sz="0" w:space="0" w:color="auto"/>
      </w:divBdr>
    </w:div>
    <w:div w:id="2077780998">
      <w:bodyDiv w:val="1"/>
      <w:marLeft w:val="0"/>
      <w:marRight w:val="0"/>
      <w:marTop w:val="0"/>
      <w:marBottom w:val="0"/>
      <w:divBdr>
        <w:top w:val="none" w:sz="0" w:space="0" w:color="auto"/>
        <w:left w:val="none" w:sz="0" w:space="0" w:color="auto"/>
        <w:bottom w:val="none" w:sz="0" w:space="0" w:color="auto"/>
        <w:right w:val="none" w:sz="0" w:space="0" w:color="auto"/>
      </w:divBdr>
    </w:div>
    <w:div w:id="2078821252">
      <w:bodyDiv w:val="1"/>
      <w:marLeft w:val="0"/>
      <w:marRight w:val="0"/>
      <w:marTop w:val="0"/>
      <w:marBottom w:val="0"/>
      <w:divBdr>
        <w:top w:val="none" w:sz="0" w:space="0" w:color="auto"/>
        <w:left w:val="none" w:sz="0" w:space="0" w:color="auto"/>
        <w:bottom w:val="none" w:sz="0" w:space="0" w:color="auto"/>
        <w:right w:val="none" w:sz="0" w:space="0" w:color="auto"/>
      </w:divBdr>
    </w:div>
    <w:div w:id="2099715679">
      <w:bodyDiv w:val="1"/>
      <w:marLeft w:val="0"/>
      <w:marRight w:val="0"/>
      <w:marTop w:val="0"/>
      <w:marBottom w:val="0"/>
      <w:divBdr>
        <w:top w:val="none" w:sz="0" w:space="0" w:color="auto"/>
        <w:left w:val="none" w:sz="0" w:space="0" w:color="auto"/>
        <w:bottom w:val="none" w:sz="0" w:space="0" w:color="auto"/>
        <w:right w:val="none" w:sz="0" w:space="0" w:color="auto"/>
      </w:divBdr>
    </w:div>
    <w:div w:id="2103989012">
      <w:bodyDiv w:val="1"/>
      <w:marLeft w:val="0"/>
      <w:marRight w:val="0"/>
      <w:marTop w:val="0"/>
      <w:marBottom w:val="0"/>
      <w:divBdr>
        <w:top w:val="none" w:sz="0" w:space="0" w:color="auto"/>
        <w:left w:val="none" w:sz="0" w:space="0" w:color="auto"/>
        <w:bottom w:val="none" w:sz="0" w:space="0" w:color="auto"/>
        <w:right w:val="none" w:sz="0" w:space="0" w:color="auto"/>
      </w:divBdr>
    </w:div>
    <w:div w:id="2114666542">
      <w:bodyDiv w:val="1"/>
      <w:marLeft w:val="0"/>
      <w:marRight w:val="0"/>
      <w:marTop w:val="0"/>
      <w:marBottom w:val="0"/>
      <w:divBdr>
        <w:top w:val="none" w:sz="0" w:space="0" w:color="auto"/>
        <w:left w:val="none" w:sz="0" w:space="0" w:color="auto"/>
        <w:bottom w:val="none" w:sz="0" w:space="0" w:color="auto"/>
        <w:right w:val="none" w:sz="0" w:space="0" w:color="auto"/>
      </w:divBdr>
    </w:div>
    <w:div w:id="2123986131">
      <w:bodyDiv w:val="1"/>
      <w:marLeft w:val="0"/>
      <w:marRight w:val="0"/>
      <w:marTop w:val="0"/>
      <w:marBottom w:val="0"/>
      <w:divBdr>
        <w:top w:val="none" w:sz="0" w:space="0" w:color="auto"/>
        <w:left w:val="none" w:sz="0" w:space="0" w:color="auto"/>
        <w:bottom w:val="none" w:sz="0" w:space="0" w:color="auto"/>
        <w:right w:val="none" w:sz="0" w:space="0" w:color="auto"/>
      </w:divBdr>
    </w:div>
    <w:div w:id="214277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hyperlink" Target="http://fr.wikipedia.org/wiki/Palette" TargetMode="Externa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49.xml"/><Relationship Id="rId68" Type="http://schemas.openxmlformats.org/officeDocument/2006/relationships/chart" Target="charts/chart54.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7.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2.xml"/><Relationship Id="rId74" Type="http://schemas.openxmlformats.org/officeDocument/2006/relationships/chart" Target="charts/chart60.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fr.wikipedia.org/wiki/Palettier" TargetMode="Externa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hyperlink" Target="http://www.legifrance.gouv.fr/affichTexte.do?cidTexte=JORFTEXT000028493476&amp;categorieLien=id" TargetMode="Externa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1.xml"/><Relationship Id="rId73" Type="http://schemas.openxmlformats.org/officeDocument/2006/relationships/chart" Target="charts/chart5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fr.wikipedia.org/wiki/Colis" TargetMode="Externa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chart" Target="charts/chart58.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3.xml"/><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8.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0.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11.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1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1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14.xm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7712267673857836E-2"/>
          <c:y val="0.13095238095238096"/>
          <c:w val="0.87247743422316115"/>
          <c:h val="0.58234626921634791"/>
        </c:manualLayout>
      </c:layout>
      <c:barChart>
        <c:barDir val="bar"/>
        <c:grouping val="percentStacked"/>
        <c:varyColors val="0"/>
        <c:ser>
          <c:idx val="0"/>
          <c:order val="0"/>
          <c:tx>
            <c:strRef>
              <c:f>Feuil1!$A$2</c:f>
              <c:strCache>
                <c:ptCount val="1"/>
                <c:pt idx="0">
                  <c:v>Augmentation</c:v>
                </c:pt>
              </c:strCache>
            </c:strRef>
          </c:tx>
          <c:spPr>
            <a:solidFill>
              <a:schemeClr val="accent5">
                <a:lumMod val="60000"/>
                <a:lumOff val="40000"/>
              </a:schemeClr>
            </a:solidFill>
          </c:spPr>
          <c:invertIfNegative val="0"/>
          <c:cat>
            <c:strRef>
              <c:f>Feuil1!$B$1:$D$1</c:f>
              <c:strCache>
                <c:ptCount val="3"/>
                <c:pt idx="0">
                  <c:v>2012</c:v>
                </c:pt>
                <c:pt idx="1">
                  <c:v>2013</c:v>
                </c:pt>
                <c:pt idx="2">
                  <c:v>2014</c:v>
                </c:pt>
              </c:strCache>
            </c:strRef>
          </c:cat>
          <c:val>
            <c:numRef>
              <c:f>Feuil1!$B$2:$D$2</c:f>
              <c:numCache>
                <c:formatCode>0%</c:formatCode>
                <c:ptCount val="3"/>
                <c:pt idx="0">
                  <c:v>0.28999999999999998</c:v>
                </c:pt>
                <c:pt idx="1">
                  <c:v>0.42</c:v>
                </c:pt>
                <c:pt idx="2">
                  <c:v>0.35629550953539291</c:v>
                </c:pt>
              </c:numCache>
            </c:numRef>
          </c:val>
        </c:ser>
        <c:ser>
          <c:idx val="1"/>
          <c:order val="1"/>
          <c:tx>
            <c:strRef>
              <c:f>Feuil1!$A$3</c:f>
              <c:strCache>
                <c:ptCount val="1"/>
                <c:pt idx="0">
                  <c:v>Stabilité</c:v>
                </c:pt>
              </c:strCache>
            </c:strRef>
          </c:tx>
          <c:spPr>
            <a:solidFill>
              <a:schemeClr val="accent2">
                <a:lumMod val="60000"/>
                <a:lumOff val="40000"/>
              </a:schemeClr>
            </a:solidFill>
          </c:spPr>
          <c:invertIfNegative val="0"/>
          <c:cat>
            <c:strRef>
              <c:f>Feuil1!$B$1:$D$1</c:f>
              <c:strCache>
                <c:ptCount val="3"/>
                <c:pt idx="0">
                  <c:v>2012</c:v>
                </c:pt>
                <c:pt idx="1">
                  <c:v>2013</c:v>
                </c:pt>
                <c:pt idx="2">
                  <c:v>2014</c:v>
                </c:pt>
              </c:strCache>
            </c:strRef>
          </c:cat>
          <c:val>
            <c:numRef>
              <c:f>Feuil1!$B$3:$D$3</c:f>
              <c:numCache>
                <c:formatCode>0%</c:formatCode>
                <c:ptCount val="3"/>
                <c:pt idx="0">
                  <c:v>0.44</c:v>
                </c:pt>
                <c:pt idx="1">
                  <c:v>0.38</c:v>
                </c:pt>
                <c:pt idx="2">
                  <c:v>0.42590006177140149</c:v>
                </c:pt>
              </c:numCache>
            </c:numRef>
          </c:val>
        </c:ser>
        <c:ser>
          <c:idx val="2"/>
          <c:order val="2"/>
          <c:tx>
            <c:strRef>
              <c:f>Feuil1!$A$4</c:f>
              <c:strCache>
                <c:ptCount val="1"/>
                <c:pt idx="0">
                  <c:v>Diminution</c:v>
                </c:pt>
              </c:strCache>
            </c:strRef>
          </c:tx>
          <c:spPr>
            <a:solidFill>
              <a:schemeClr val="accent3">
                <a:lumMod val="60000"/>
                <a:lumOff val="40000"/>
              </a:schemeClr>
            </a:solidFill>
          </c:spPr>
          <c:invertIfNegative val="0"/>
          <c:cat>
            <c:strRef>
              <c:f>Feuil1!$B$1:$D$1</c:f>
              <c:strCache>
                <c:ptCount val="3"/>
                <c:pt idx="0">
                  <c:v>2012</c:v>
                </c:pt>
                <c:pt idx="1">
                  <c:v>2013</c:v>
                </c:pt>
                <c:pt idx="2">
                  <c:v>2014</c:v>
                </c:pt>
              </c:strCache>
            </c:strRef>
          </c:cat>
          <c:val>
            <c:numRef>
              <c:f>Feuil1!$B$4:$D$4</c:f>
              <c:numCache>
                <c:formatCode>0%</c:formatCode>
                <c:ptCount val="3"/>
                <c:pt idx="0">
                  <c:v>0.27</c:v>
                </c:pt>
                <c:pt idx="1">
                  <c:v>0.18</c:v>
                </c:pt>
                <c:pt idx="2">
                  <c:v>0.20561048019053213</c:v>
                </c:pt>
              </c:numCache>
            </c:numRef>
          </c:val>
        </c:ser>
        <c:ser>
          <c:idx val="3"/>
          <c:order val="3"/>
          <c:tx>
            <c:strRef>
              <c:f>Feuil1!$A$5</c:f>
              <c:strCache>
                <c:ptCount val="1"/>
                <c:pt idx="0">
                  <c:v>Ne se prononce pas</c:v>
                </c:pt>
              </c:strCache>
            </c:strRef>
          </c:tx>
          <c:spPr>
            <a:solidFill>
              <a:schemeClr val="accent4">
                <a:lumMod val="60000"/>
                <a:lumOff val="40000"/>
              </a:schemeClr>
            </a:solidFill>
          </c:spPr>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Pos val="ctr"/>
            <c:showLegendKey val="0"/>
            <c:showVal val="0"/>
            <c:showCatName val="0"/>
            <c:showSerName val="0"/>
            <c:showPercent val="0"/>
            <c:showBubbleSize val="0"/>
          </c:dLbls>
          <c:cat>
            <c:strRef>
              <c:f>Feuil1!$B$1:$D$1</c:f>
              <c:strCache>
                <c:ptCount val="3"/>
                <c:pt idx="0">
                  <c:v>2012</c:v>
                </c:pt>
                <c:pt idx="1">
                  <c:v>2013</c:v>
                </c:pt>
                <c:pt idx="2">
                  <c:v>2014</c:v>
                </c:pt>
              </c:strCache>
            </c:strRef>
          </c:cat>
          <c:val>
            <c:numRef>
              <c:f>Feuil1!$B$5:$D$5</c:f>
              <c:numCache>
                <c:formatCode>0%</c:formatCode>
                <c:ptCount val="3"/>
                <c:pt idx="0">
                  <c:v>0.01</c:v>
                </c:pt>
                <c:pt idx="1">
                  <c:v>0.02</c:v>
                </c:pt>
                <c:pt idx="2">
                  <c:v>1.219394850267333E-2</c:v>
                </c:pt>
              </c:numCache>
            </c:numRef>
          </c:val>
        </c:ser>
        <c:dLbls>
          <c:dLblPos val="ctr"/>
          <c:showLegendKey val="0"/>
          <c:showVal val="1"/>
          <c:showCatName val="0"/>
          <c:showSerName val="0"/>
          <c:showPercent val="0"/>
          <c:showBubbleSize val="0"/>
        </c:dLbls>
        <c:gapWidth val="50"/>
        <c:overlap val="100"/>
        <c:axId val="120382592"/>
        <c:axId val="120384512"/>
      </c:barChart>
      <c:catAx>
        <c:axId val="120382592"/>
        <c:scaling>
          <c:orientation val="minMax"/>
        </c:scaling>
        <c:delete val="0"/>
        <c:axPos val="l"/>
        <c:majorTickMark val="out"/>
        <c:minorTickMark val="none"/>
        <c:tickLblPos val="nextTo"/>
        <c:crossAx val="120384512"/>
        <c:crosses val="autoZero"/>
        <c:auto val="1"/>
        <c:lblAlgn val="ctr"/>
        <c:lblOffset val="100"/>
        <c:noMultiLvlLbl val="0"/>
      </c:catAx>
      <c:valAx>
        <c:axId val="120384512"/>
        <c:scaling>
          <c:orientation val="minMax"/>
        </c:scaling>
        <c:delete val="1"/>
        <c:axPos val="b"/>
        <c:numFmt formatCode="0%" sourceLinked="1"/>
        <c:majorTickMark val="out"/>
        <c:minorTickMark val="none"/>
        <c:tickLblPos val="nextTo"/>
        <c:crossAx val="120382592"/>
        <c:crosses val="autoZero"/>
        <c:crossBetween val="between"/>
      </c:valAx>
    </c:plotArea>
    <c:legend>
      <c:legendPos val="b"/>
      <c:legendEntry>
        <c:idx val="2"/>
        <c:delete val="1"/>
      </c:legendEntry>
      <c:legendEntry>
        <c:idx val="3"/>
        <c:delete val="1"/>
      </c:legendEntry>
      <c:layout>
        <c:manualLayout>
          <c:xMode val="edge"/>
          <c:yMode val="edge"/>
          <c:x val="0.2194212918507138"/>
          <c:y val="0.73710817397825268"/>
          <c:w val="0.74543904572903996"/>
          <c:h val="0.19146325459317584"/>
        </c:manualLayout>
      </c:layout>
      <c:overlay val="0"/>
      <c:spPr>
        <a:ln>
          <a:solidFill>
            <a:schemeClr val="bg1"/>
          </a:solidFill>
        </a:ln>
      </c:spPr>
    </c:legend>
    <c:plotVisOnly val="1"/>
    <c:dispBlanksAs val="gap"/>
    <c:showDLblsOverMax val="0"/>
  </c:chart>
  <c:spPr>
    <a:ln>
      <a:solidFill>
        <a:schemeClr val="bg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manualLayout>
          <c:layoutTarget val="inner"/>
          <c:xMode val="edge"/>
          <c:yMode val="edge"/>
          <c:x val="3.5284683239775461E-2"/>
          <c:y val="7.1126258471422399E-2"/>
          <c:w val="0.92943063352044908"/>
          <c:h val="0.60791162298742507"/>
        </c:manualLayout>
      </c:layout>
      <c:barChart>
        <c:barDir val="col"/>
        <c:grouping val="clustered"/>
        <c:varyColors val="0"/>
        <c:ser>
          <c:idx val="0"/>
          <c:order val="0"/>
          <c:tx>
            <c:strRef>
              <c:f>Sheet1!$B$1</c:f>
              <c:strCache>
                <c:ptCount val="1"/>
              </c:strCache>
            </c:strRef>
          </c:tx>
          <c:spPr>
            <a:solidFill>
              <a:schemeClr val="accent2">
                <a:lumMod val="75000"/>
              </a:schemeClr>
            </a:solidFill>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spPr/>
              <c:txPr>
                <a:bodyPr/>
                <a:lstStyle/>
                <a:p>
                  <a:pPr>
                    <a:defRPr b="0"/>
                  </a:pPr>
                  <a:endParaRPr lang="fr-FR"/>
                </a:p>
              </c:txPr>
              <c:dLblPos val="outEnd"/>
              <c:showLegendKey val="0"/>
              <c:showVal val="1"/>
              <c:showCatName val="0"/>
              <c:showSerName val="0"/>
              <c:showPercent val="0"/>
              <c:showBubbleSize val="0"/>
            </c:dLbl>
            <c:dLbl>
              <c:idx val="1"/>
              <c:spPr/>
              <c:txPr>
                <a:bodyPr/>
                <a:lstStyle/>
                <a:p>
                  <a:pPr>
                    <a:defRPr b="0"/>
                  </a:pPr>
                  <a:endParaRPr lang="fr-FR"/>
                </a:p>
              </c:txPr>
              <c:dLblPos val="outEnd"/>
              <c:showLegendKey val="0"/>
              <c:showVal val="1"/>
              <c:showCatName val="0"/>
              <c:showSerName val="0"/>
              <c:showPercent val="0"/>
              <c:showBubbleSize val="0"/>
            </c:dLbl>
            <c:txPr>
              <a:bodyPr/>
              <a:lstStyle/>
              <a:p>
                <a:pPr>
                  <a:defRPr b="1"/>
                </a:pPr>
                <a:endParaRPr lang="fr-FR"/>
              </a:p>
            </c:txPr>
            <c:dLblPos val="outEnd"/>
            <c:showLegendKey val="0"/>
            <c:showVal val="1"/>
            <c:showCatName val="0"/>
            <c:showSerName val="0"/>
            <c:showPercent val="0"/>
            <c:showBubbleSize val="0"/>
            <c:showLeaderLines val="0"/>
          </c:dLbls>
          <c:cat>
            <c:strRef>
              <c:f>Sheet1!$A$2:$A$3</c:f>
              <c:strCache>
                <c:ptCount val="2"/>
                <c:pt idx="0">
                  <c:v>Etablissements de 50 à 99 salariés</c:v>
                </c:pt>
                <c:pt idx="1">
                  <c:v>Etablissements de 100 salariés et plus</c:v>
                </c:pt>
              </c:strCache>
            </c:strRef>
          </c:cat>
          <c:val>
            <c:numRef>
              <c:f>Sheet1!$B$2:$B$3</c:f>
              <c:numCache>
                <c:formatCode>0%</c:formatCode>
                <c:ptCount val="2"/>
                <c:pt idx="0">
                  <c:v>0.08</c:v>
                </c:pt>
                <c:pt idx="1">
                  <c:v>0.18</c:v>
                </c:pt>
              </c:numCache>
            </c:numRef>
          </c:val>
        </c:ser>
        <c:dLbls>
          <c:showLegendKey val="0"/>
          <c:showVal val="1"/>
          <c:showCatName val="0"/>
          <c:showSerName val="0"/>
          <c:showPercent val="0"/>
          <c:showBubbleSize val="0"/>
        </c:dLbls>
        <c:gapWidth val="150"/>
        <c:overlap val="-25"/>
        <c:axId val="112630016"/>
        <c:axId val="112635904"/>
      </c:barChart>
      <c:catAx>
        <c:axId val="112630016"/>
        <c:scaling>
          <c:orientation val="minMax"/>
        </c:scaling>
        <c:delete val="0"/>
        <c:axPos val="b"/>
        <c:numFmt formatCode="General" sourceLinked="1"/>
        <c:majorTickMark val="out"/>
        <c:minorTickMark val="none"/>
        <c:tickLblPos val="nextTo"/>
        <c:txPr>
          <a:bodyPr rot="0" vert="horz"/>
          <a:lstStyle/>
          <a:p>
            <a:pPr>
              <a:defRPr/>
            </a:pPr>
            <a:endParaRPr lang="fr-FR"/>
          </a:p>
        </c:txPr>
        <c:crossAx val="112635904"/>
        <c:crosses val="autoZero"/>
        <c:auto val="1"/>
        <c:lblAlgn val="ctr"/>
        <c:lblOffset val="100"/>
        <c:tickLblSkip val="1"/>
        <c:tickMarkSkip val="1"/>
        <c:noMultiLvlLbl val="0"/>
      </c:catAx>
      <c:valAx>
        <c:axId val="112635904"/>
        <c:scaling>
          <c:orientation val="minMax"/>
          <c:max val="0.2"/>
          <c:min val="0"/>
        </c:scaling>
        <c:delete val="1"/>
        <c:axPos val="l"/>
        <c:numFmt formatCode="0%" sourceLinked="1"/>
        <c:majorTickMark val="out"/>
        <c:minorTickMark val="none"/>
        <c:tickLblPos val="nextTo"/>
        <c:crossAx val="11263001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Feuil1!$B$1</c:f>
              <c:strCache>
                <c:ptCount val="1"/>
                <c:pt idx="0">
                  <c:v>100 salariés et plus</c:v>
                </c:pt>
              </c:strCache>
            </c:strRef>
          </c:tx>
          <c:invertIfNegative val="0"/>
          <c:dLbls>
            <c:dLblPos val="outEnd"/>
            <c:showLegendKey val="0"/>
            <c:showVal val="1"/>
            <c:showCatName val="0"/>
            <c:showSerName val="0"/>
            <c:showPercent val="0"/>
            <c:showBubbleSize val="0"/>
            <c:showLeaderLines val="0"/>
          </c:dLbls>
          <c:cat>
            <c:strRef>
              <c:f>Feuil1!$A$2:$A$5</c:f>
              <c:strCache>
                <c:ptCount val="4"/>
                <c:pt idx="0">
                  <c:v>Une réduction de la pénibilité des tâches de travail</c:v>
                </c:pt>
                <c:pt idx="1">
                  <c:v>Une amélioration de la sécurité</c:v>
                </c:pt>
                <c:pt idx="2">
                  <c:v>Une compression des effectifs </c:v>
                </c:pt>
                <c:pt idx="3">
                  <c:v>Une réduction des recrutements</c:v>
                </c:pt>
              </c:strCache>
            </c:strRef>
          </c:cat>
          <c:val>
            <c:numRef>
              <c:f>Feuil1!$B$2:$B$5</c:f>
              <c:numCache>
                <c:formatCode>0%</c:formatCode>
                <c:ptCount val="4"/>
                <c:pt idx="0">
                  <c:v>0.68</c:v>
                </c:pt>
                <c:pt idx="1">
                  <c:v>0.5</c:v>
                </c:pt>
                <c:pt idx="2">
                  <c:v>0.25</c:v>
                </c:pt>
                <c:pt idx="3">
                  <c:v>0.26</c:v>
                </c:pt>
              </c:numCache>
            </c:numRef>
          </c:val>
        </c:ser>
        <c:ser>
          <c:idx val="1"/>
          <c:order val="1"/>
          <c:tx>
            <c:strRef>
              <c:f>Feuil1!$C$1</c:f>
              <c:strCache>
                <c:ptCount val="1"/>
                <c:pt idx="0">
                  <c:v>De 50 à 99 salariés</c:v>
                </c:pt>
              </c:strCache>
            </c:strRef>
          </c:tx>
          <c:spPr>
            <a:solidFill>
              <a:schemeClr val="accent2">
                <a:lumMod val="75000"/>
              </a:schemeClr>
            </a:solidFill>
          </c:spPr>
          <c:invertIfNegative val="0"/>
          <c:dLbls>
            <c:dLblPos val="outEnd"/>
            <c:showLegendKey val="0"/>
            <c:showVal val="1"/>
            <c:showCatName val="0"/>
            <c:showSerName val="0"/>
            <c:showPercent val="0"/>
            <c:showBubbleSize val="0"/>
            <c:showLeaderLines val="0"/>
          </c:dLbls>
          <c:cat>
            <c:strRef>
              <c:f>Feuil1!$A$2:$A$5</c:f>
              <c:strCache>
                <c:ptCount val="4"/>
                <c:pt idx="0">
                  <c:v>Une réduction de la pénibilité des tâches de travail</c:v>
                </c:pt>
                <c:pt idx="1">
                  <c:v>Une amélioration de la sécurité</c:v>
                </c:pt>
                <c:pt idx="2">
                  <c:v>Une compression des effectifs </c:v>
                </c:pt>
                <c:pt idx="3">
                  <c:v>Une réduction des recrutements</c:v>
                </c:pt>
              </c:strCache>
            </c:strRef>
          </c:cat>
          <c:val>
            <c:numRef>
              <c:f>Feuil1!$C$2:$C$5</c:f>
              <c:numCache>
                <c:formatCode>0%</c:formatCode>
                <c:ptCount val="4"/>
                <c:pt idx="0">
                  <c:v>0.96</c:v>
                </c:pt>
                <c:pt idx="1">
                  <c:v>0.91</c:v>
                </c:pt>
                <c:pt idx="2">
                  <c:v>0.87</c:v>
                </c:pt>
                <c:pt idx="3">
                  <c:v>0</c:v>
                </c:pt>
              </c:numCache>
            </c:numRef>
          </c:val>
        </c:ser>
        <c:ser>
          <c:idx val="2"/>
          <c:order val="2"/>
          <c:tx>
            <c:strRef>
              <c:f>Feuil1!$D$1</c:f>
              <c:strCache>
                <c:ptCount val="1"/>
                <c:pt idx="0">
                  <c:v>Total</c:v>
                </c:pt>
              </c:strCache>
            </c:strRef>
          </c:tx>
          <c:invertIfNegative val="0"/>
          <c:dLbls>
            <c:dLblPos val="outEnd"/>
            <c:showLegendKey val="0"/>
            <c:showVal val="1"/>
            <c:showCatName val="0"/>
            <c:showSerName val="0"/>
            <c:showPercent val="0"/>
            <c:showBubbleSize val="0"/>
            <c:showLeaderLines val="0"/>
          </c:dLbls>
          <c:cat>
            <c:strRef>
              <c:f>Feuil1!$A$2:$A$5</c:f>
              <c:strCache>
                <c:ptCount val="4"/>
                <c:pt idx="0">
                  <c:v>Une réduction de la pénibilité des tâches de travail</c:v>
                </c:pt>
                <c:pt idx="1">
                  <c:v>Une amélioration de la sécurité</c:v>
                </c:pt>
                <c:pt idx="2">
                  <c:v>Une compression des effectifs </c:v>
                </c:pt>
                <c:pt idx="3">
                  <c:v>Une réduction des recrutements</c:v>
                </c:pt>
              </c:strCache>
            </c:strRef>
          </c:cat>
          <c:val>
            <c:numRef>
              <c:f>Feuil1!$D$2:$D$5</c:f>
              <c:numCache>
                <c:formatCode>0%</c:formatCode>
                <c:ptCount val="4"/>
                <c:pt idx="0">
                  <c:v>0.74</c:v>
                </c:pt>
                <c:pt idx="1">
                  <c:v>0.6</c:v>
                </c:pt>
                <c:pt idx="2">
                  <c:v>0.39</c:v>
                </c:pt>
                <c:pt idx="3">
                  <c:v>0.2</c:v>
                </c:pt>
              </c:numCache>
            </c:numRef>
          </c:val>
        </c:ser>
        <c:dLbls>
          <c:showLegendKey val="0"/>
          <c:showVal val="0"/>
          <c:showCatName val="0"/>
          <c:showSerName val="0"/>
          <c:showPercent val="0"/>
          <c:showBubbleSize val="0"/>
        </c:dLbls>
        <c:gapWidth val="150"/>
        <c:axId val="112679552"/>
        <c:axId val="112685440"/>
      </c:barChart>
      <c:catAx>
        <c:axId val="112679552"/>
        <c:scaling>
          <c:orientation val="minMax"/>
        </c:scaling>
        <c:delete val="0"/>
        <c:axPos val="b"/>
        <c:majorTickMark val="out"/>
        <c:minorTickMark val="none"/>
        <c:tickLblPos val="nextTo"/>
        <c:crossAx val="112685440"/>
        <c:crosses val="autoZero"/>
        <c:auto val="1"/>
        <c:lblAlgn val="ctr"/>
        <c:lblOffset val="100"/>
        <c:noMultiLvlLbl val="0"/>
      </c:catAx>
      <c:valAx>
        <c:axId val="112685440"/>
        <c:scaling>
          <c:orientation val="minMax"/>
        </c:scaling>
        <c:delete val="1"/>
        <c:axPos val="l"/>
        <c:numFmt formatCode="0%" sourceLinked="1"/>
        <c:majorTickMark val="out"/>
        <c:minorTickMark val="none"/>
        <c:tickLblPos val="nextTo"/>
        <c:crossAx val="112679552"/>
        <c:crosses val="autoZero"/>
        <c:crossBetween val="between"/>
      </c:valAx>
      <c:spPr>
        <a:noFill/>
        <a:ln w="25400">
          <a:noFill/>
        </a:ln>
      </c:spPr>
    </c:plotArea>
    <c:legend>
      <c:legendPos val="r"/>
      <c:overlay val="0"/>
      <c:spPr>
        <a:ln>
          <a:solidFill>
            <a:schemeClr val="bg1">
              <a:lumMod val="50000"/>
            </a:schemeClr>
          </a:solidFill>
        </a:ln>
      </c:sp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2.2153820780823071E-2"/>
          <c:y val="0"/>
          <c:w val="0.95569235843835387"/>
          <c:h val="0.92982798410041267"/>
        </c:manualLayout>
      </c:layout>
      <c:barChart>
        <c:barDir val="col"/>
        <c:grouping val="clustered"/>
        <c:varyColors val="0"/>
        <c:ser>
          <c:idx val="0"/>
          <c:order val="0"/>
          <c:tx>
            <c:strRef>
              <c:f>Sheet1!$A$2</c:f>
              <c:strCache>
                <c:ptCount val="1"/>
                <c:pt idx="0">
                  <c:v>2010</c:v>
                </c:pt>
              </c:strCache>
            </c:strRef>
          </c:tx>
          <c:spPr>
            <a:solidFill>
              <a:schemeClr val="tx2"/>
            </a:solidFill>
          </c:spPr>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Sheet1!$B$1:$I$1</c:f>
              <c:strCache>
                <c:ptCount val="8"/>
                <c:pt idx="0">
                  <c:v>IAA</c:v>
                </c:pt>
                <c:pt idx="1">
                  <c:v>PHAR</c:v>
                </c:pt>
                <c:pt idx="2">
                  <c:v>AUTO</c:v>
                </c:pt>
                <c:pt idx="3">
                  <c:v>IEM</c:v>
                </c:pt>
                <c:pt idx="4">
                  <c:v>CHI</c:v>
                </c:pt>
                <c:pt idx="5">
                  <c:v>COM</c:v>
                </c:pt>
                <c:pt idx="6">
                  <c:v>TRP</c:v>
                </c:pt>
                <c:pt idx="7">
                  <c:v>Total</c:v>
                </c:pt>
              </c:strCache>
            </c:strRef>
          </c:cat>
          <c:val>
            <c:numRef>
              <c:f>Sheet1!$B$2:$I$2</c:f>
              <c:numCache>
                <c:formatCode>0%</c:formatCode>
                <c:ptCount val="8"/>
                <c:pt idx="0">
                  <c:v>0.39</c:v>
                </c:pt>
                <c:pt idx="1">
                  <c:v>0.66</c:v>
                </c:pt>
                <c:pt idx="2">
                  <c:v>0.46</c:v>
                </c:pt>
                <c:pt idx="3">
                  <c:v>0.42</c:v>
                </c:pt>
                <c:pt idx="4">
                  <c:v>0.52</c:v>
                </c:pt>
                <c:pt idx="5">
                  <c:v>0.55000000000000004</c:v>
                </c:pt>
                <c:pt idx="6">
                  <c:v>0.47</c:v>
                </c:pt>
                <c:pt idx="7">
                  <c:v>0.48</c:v>
                </c:pt>
              </c:numCache>
            </c:numRef>
          </c:val>
        </c:ser>
        <c:ser>
          <c:idx val="1"/>
          <c:order val="1"/>
          <c:tx>
            <c:strRef>
              <c:f>Sheet1!$A$3</c:f>
              <c:strCache>
                <c:ptCount val="1"/>
                <c:pt idx="0">
                  <c:v>2011</c:v>
                </c:pt>
              </c:strCache>
            </c:strRef>
          </c:tx>
          <c:spPr>
            <a:solidFill>
              <a:srgbClr val="C00000"/>
            </a:solidFill>
          </c:spPr>
          <c:invertIfNegative val="0"/>
          <c:dLbls>
            <c:dLbl>
              <c:idx val="1"/>
              <c:layout>
                <c:manualLayout>
                  <c:x val="0"/>
                  <c:y val="1.0685687189864608E-4"/>
                </c:manualLayout>
              </c:layout>
              <c:dLblPos val="outEnd"/>
              <c:showLegendKey val="0"/>
              <c:showVal val="1"/>
              <c:showCatName val="0"/>
              <c:showSerName val="0"/>
              <c:showPercent val="0"/>
              <c:showBubbleSize val="0"/>
            </c:dLbl>
            <c:txPr>
              <a:bodyPr rot="-5400000" vert="horz"/>
              <a:lstStyle/>
              <a:p>
                <a:pPr>
                  <a:defRPr/>
                </a:pPr>
                <a:endParaRPr lang="fr-FR"/>
              </a:p>
            </c:txPr>
            <c:dLblPos val="outEnd"/>
            <c:showLegendKey val="0"/>
            <c:showVal val="1"/>
            <c:showCatName val="0"/>
            <c:showSerName val="0"/>
            <c:showPercent val="0"/>
            <c:showBubbleSize val="0"/>
            <c:showLeaderLines val="0"/>
          </c:dLbls>
          <c:cat>
            <c:strRef>
              <c:f>Sheet1!$B$1:$I$1</c:f>
              <c:strCache>
                <c:ptCount val="8"/>
                <c:pt idx="0">
                  <c:v>IAA</c:v>
                </c:pt>
                <c:pt idx="1">
                  <c:v>PHAR</c:v>
                </c:pt>
                <c:pt idx="2">
                  <c:v>AUTO</c:v>
                </c:pt>
                <c:pt idx="3">
                  <c:v>IEM</c:v>
                </c:pt>
                <c:pt idx="4">
                  <c:v>CHI</c:v>
                </c:pt>
                <c:pt idx="5">
                  <c:v>COM</c:v>
                </c:pt>
                <c:pt idx="6">
                  <c:v>TRP</c:v>
                </c:pt>
                <c:pt idx="7">
                  <c:v>Total</c:v>
                </c:pt>
              </c:strCache>
            </c:strRef>
          </c:cat>
          <c:val>
            <c:numRef>
              <c:f>Sheet1!$B$3:$I$3</c:f>
              <c:numCache>
                <c:formatCode>0%</c:formatCode>
                <c:ptCount val="8"/>
                <c:pt idx="0">
                  <c:v>0.33</c:v>
                </c:pt>
                <c:pt idx="1">
                  <c:v>0.37</c:v>
                </c:pt>
                <c:pt idx="2">
                  <c:v>0.55000000000000004</c:v>
                </c:pt>
                <c:pt idx="3">
                  <c:v>0.42</c:v>
                </c:pt>
                <c:pt idx="4">
                  <c:v>0.39</c:v>
                </c:pt>
                <c:pt idx="5">
                  <c:v>0.46</c:v>
                </c:pt>
                <c:pt idx="6">
                  <c:v>0.38</c:v>
                </c:pt>
                <c:pt idx="7">
                  <c:v>0.41</c:v>
                </c:pt>
              </c:numCache>
            </c:numRef>
          </c:val>
        </c:ser>
        <c:ser>
          <c:idx val="2"/>
          <c:order val="2"/>
          <c:tx>
            <c:strRef>
              <c:f>Sheet1!$A$4</c:f>
              <c:strCache>
                <c:ptCount val="1"/>
                <c:pt idx="0">
                  <c:v>2012</c:v>
                </c:pt>
              </c:strCache>
            </c:strRef>
          </c:tx>
          <c:spPr>
            <a:solidFill>
              <a:schemeClr val="accent3">
                <a:lumMod val="75000"/>
              </a:schemeClr>
            </a:solidFill>
          </c:spPr>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Sheet1!$B$1:$I$1</c:f>
              <c:strCache>
                <c:ptCount val="8"/>
                <c:pt idx="0">
                  <c:v>IAA</c:v>
                </c:pt>
                <c:pt idx="1">
                  <c:v>PHAR</c:v>
                </c:pt>
                <c:pt idx="2">
                  <c:v>AUTO</c:v>
                </c:pt>
                <c:pt idx="3">
                  <c:v>IEM</c:v>
                </c:pt>
                <c:pt idx="4">
                  <c:v>CHI</c:v>
                </c:pt>
                <c:pt idx="5">
                  <c:v>COM</c:v>
                </c:pt>
                <c:pt idx="6">
                  <c:v>TRP</c:v>
                </c:pt>
                <c:pt idx="7">
                  <c:v>Total</c:v>
                </c:pt>
              </c:strCache>
            </c:strRef>
          </c:cat>
          <c:val>
            <c:numRef>
              <c:f>Sheet1!$B$4:$I$4</c:f>
              <c:numCache>
                <c:formatCode>0%</c:formatCode>
                <c:ptCount val="8"/>
                <c:pt idx="0">
                  <c:v>0.44</c:v>
                </c:pt>
                <c:pt idx="1">
                  <c:v>0.37</c:v>
                </c:pt>
                <c:pt idx="2">
                  <c:v>0.42</c:v>
                </c:pt>
                <c:pt idx="3">
                  <c:v>0.43</c:v>
                </c:pt>
                <c:pt idx="4">
                  <c:v>0.35</c:v>
                </c:pt>
                <c:pt idx="5">
                  <c:v>0.46</c:v>
                </c:pt>
                <c:pt idx="6">
                  <c:v>0.32</c:v>
                </c:pt>
                <c:pt idx="7">
                  <c:v>0.41</c:v>
                </c:pt>
              </c:numCache>
            </c:numRef>
          </c:val>
        </c:ser>
        <c:ser>
          <c:idx val="11"/>
          <c:order val="3"/>
          <c:tx>
            <c:strRef>
              <c:f>Sheet1!$A$5</c:f>
              <c:strCache>
                <c:ptCount val="1"/>
                <c:pt idx="0">
                  <c:v>2013</c:v>
                </c:pt>
              </c:strCache>
            </c:strRef>
          </c:tx>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Sheet1!$B$1:$I$1</c:f>
              <c:strCache>
                <c:ptCount val="8"/>
                <c:pt idx="0">
                  <c:v>IAA</c:v>
                </c:pt>
                <c:pt idx="1">
                  <c:v>PHAR</c:v>
                </c:pt>
                <c:pt idx="2">
                  <c:v>AUTO</c:v>
                </c:pt>
                <c:pt idx="3">
                  <c:v>IEM</c:v>
                </c:pt>
                <c:pt idx="4">
                  <c:v>CHI</c:v>
                </c:pt>
                <c:pt idx="5">
                  <c:v>COM</c:v>
                </c:pt>
                <c:pt idx="6">
                  <c:v>TRP</c:v>
                </c:pt>
                <c:pt idx="7">
                  <c:v>Total</c:v>
                </c:pt>
              </c:strCache>
            </c:strRef>
          </c:cat>
          <c:val>
            <c:numRef>
              <c:f>Sheet1!$B$5:$I$5</c:f>
              <c:numCache>
                <c:formatCode>0%</c:formatCode>
                <c:ptCount val="8"/>
                <c:pt idx="0">
                  <c:v>0.5</c:v>
                </c:pt>
                <c:pt idx="1">
                  <c:v>0.47</c:v>
                </c:pt>
                <c:pt idx="2">
                  <c:v>0.65</c:v>
                </c:pt>
                <c:pt idx="3">
                  <c:v>0.63</c:v>
                </c:pt>
                <c:pt idx="4">
                  <c:v>0.37</c:v>
                </c:pt>
                <c:pt idx="5">
                  <c:v>0.55000000000000004</c:v>
                </c:pt>
                <c:pt idx="6">
                  <c:v>0.38</c:v>
                </c:pt>
                <c:pt idx="7">
                  <c:v>0.51</c:v>
                </c:pt>
              </c:numCache>
            </c:numRef>
          </c:val>
        </c:ser>
        <c:ser>
          <c:idx val="10"/>
          <c:order val="4"/>
          <c:tx>
            <c:strRef>
              <c:f>Sheet1!$A$6</c:f>
              <c:strCache>
                <c:ptCount val="1"/>
                <c:pt idx="0">
                  <c:v>2014</c:v>
                </c:pt>
              </c:strCache>
            </c:strRef>
          </c:tx>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Sheet1!$B$1:$I$1</c:f>
              <c:strCache>
                <c:ptCount val="8"/>
                <c:pt idx="0">
                  <c:v>IAA</c:v>
                </c:pt>
                <c:pt idx="1">
                  <c:v>PHAR</c:v>
                </c:pt>
                <c:pt idx="2">
                  <c:v>AUTO</c:v>
                </c:pt>
                <c:pt idx="3">
                  <c:v>IEM</c:v>
                </c:pt>
                <c:pt idx="4">
                  <c:v>CHI</c:v>
                </c:pt>
                <c:pt idx="5">
                  <c:v>COM</c:v>
                </c:pt>
                <c:pt idx="6">
                  <c:v>TRP</c:v>
                </c:pt>
                <c:pt idx="7">
                  <c:v>Total</c:v>
                </c:pt>
              </c:strCache>
            </c:strRef>
          </c:cat>
          <c:val>
            <c:numRef>
              <c:f>Sheet1!$B$6:$I$6</c:f>
              <c:numCache>
                <c:formatCode>0%</c:formatCode>
                <c:ptCount val="8"/>
                <c:pt idx="0">
                  <c:v>0.33435393296074395</c:v>
                </c:pt>
                <c:pt idx="1">
                  <c:v>0.37580357513168272</c:v>
                </c:pt>
                <c:pt idx="2">
                  <c:v>0.55876567020250734</c:v>
                </c:pt>
                <c:pt idx="3">
                  <c:v>0.33024405313561972</c:v>
                </c:pt>
                <c:pt idx="4">
                  <c:v>0.35352089662434488</c:v>
                </c:pt>
                <c:pt idx="5">
                  <c:v>0.41626611520977719</c:v>
                </c:pt>
                <c:pt idx="6">
                  <c:v>0.18978494623655909</c:v>
                </c:pt>
                <c:pt idx="7">
                  <c:v>0.34293986263794235</c:v>
                </c:pt>
              </c:numCache>
            </c:numRef>
          </c:val>
        </c:ser>
        <c:dLbls>
          <c:showLegendKey val="0"/>
          <c:showVal val="1"/>
          <c:showCatName val="0"/>
          <c:showSerName val="0"/>
          <c:showPercent val="0"/>
          <c:showBubbleSize val="0"/>
        </c:dLbls>
        <c:gapWidth val="150"/>
        <c:overlap val="-25"/>
        <c:axId val="112788608"/>
        <c:axId val="112790144"/>
      </c:barChart>
      <c:catAx>
        <c:axId val="112788608"/>
        <c:scaling>
          <c:orientation val="minMax"/>
        </c:scaling>
        <c:delete val="0"/>
        <c:axPos val="b"/>
        <c:numFmt formatCode="General" sourceLinked="1"/>
        <c:majorTickMark val="none"/>
        <c:minorTickMark val="none"/>
        <c:tickLblPos val="nextTo"/>
        <c:txPr>
          <a:bodyPr rot="0" vert="horz"/>
          <a:lstStyle/>
          <a:p>
            <a:pPr>
              <a:defRPr/>
            </a:pPr>
            <a:endParaRPr lang="fr-FR"/>
          </a:p>
        </c:txPr>
        <c:crossAx val="112790144"/>
        <c:crosses val="autoZero"/>
        <c:auto val="1"/>
        <c:lblAlgn val="ctr"/>
        <c:lblOffset val="100"/>
        <c:tickLblSkip val="1"/>
        <c:tickMarkSkip val="1"/>
        <c:noMultiLvlLbl val="0"/>
      </c:catAx>
      <c:valAx>
        <c:axId val="112790144"/>
        <c:scaling>
          <c:orientation val="minMax"/>
        </c:scaling>
        <c:delete val="1"/>
        <c:axPos val="l"/>
        <c:numFmt formatCode="0%" sourceLinked="1"/>
        <c:majorTickMark val="none"/>
        <c:minorTickMark val="none"/>
        <c:tickLblPos val="nextTo"/>
        <c:crossAx val="11278860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Sheet1!$A$2</c:f>
              <c:strCache>
                <c:ptCount val="1"/>
                <c:pt idx="0">
                  <c:v>2010</c:v>
                </c:pt>
              </c:strCache>
            </c:strRef>
          </c:tx>
          <c:spPr>
            <a:solidFill>
              <a:schemeClr val="tx2"/>
            </a:solidFill>
          </c:spPr>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Sheet1!$B$2:$D$2</c:f>
              <c:numCache>
                <c:formatCode>0%</c:formatCode>
                <c:ptCount val="3"/>
                <c:pt idx="0">
                  <c:v>0.43</c:v>
                </c:pt>
                <c:pt idx="1">
                  <c:v>0.35</c:v>
                </c:pt>
                <c:pt idx="2">
                  <c:v>0.4</c:v>
                </c:pt>
              </c:numCache>
            </c:numRef>
          </c:val>
        </c:ser>
        <c:ser>
          <c:idx val="1"/>
          <c:order val="1"/>
          <c:tx>
            <c:strRef>
              <c:f>Sheet1!$A$3</c:f>
              <c:strCache>
                <c:ptCount val="1"/>
                <c:pt idx="0">
                  <c:v>2011</c:v>
                </c:pt>
              </c:strCache>
            </c:strRef>
          </c:tx>
          <c:spPr>
            <a:solidFill>
              <a:srgbClr val="C00000"/>
            </a:solidFill>
          </c:spPr>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Sheet1!$B$3:$D$3</c:f>
              <c:numCache>
                <c:formatCode>0%</c:formatCode>
                <c:ptCount val="3"/>
                <c:pt idx="0">
                  <c:v>0.38</c:v>
                </c:pt>
                <c:pt idx="1">
                  <c:v>0.45</c:v>
                </c:pt>
                <c:pt idx="2">
                  <c:v>0.41</c:v>
                </c:pt>
              </c:numCache>
            </c:numRef>
          </c:val>
        </c:ser>
        <c:ser>
          <c:idx val="2"/>
          <c:order val="2"/>
          <c:tx>
            <c:strRef>
              <c:f>Sheet1!$A$4</c:f>
              <c:strCache>
                <c:ptCount val="1"/>
                <c:pt idx="0">
                  <c:v>2012</c:v>
                </c:pt>
              </c:strCache>
            </c:strRef>
          </c:tx>
          <c:spPr>
            <a:solidFill>
              <a:schemeClr val="accent3">
                <a:lumMod val="75000"/>
              </a:schemeClr>
            </a:solidFill>
          </c:spPr>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Sheet1!$B$4:$D$4</c:f>
              <c:numCache>
                <c:formatCode>0%</c:formatCode>
                <c:ptCount val="3"/>
                <c:pt idx="0">
                  <c:v>0.4</c:v>
                </c:pt>
                <c:pt idx="1">
                  <c:v>0.28999999999999998</c:v>
                </c:pt>
                <c:pt idx="2">
                  <c:v>0.35</c:v>
                </c:pt>
              </c:numCache>
            </c:numRef>
          </c:val>
        </c:ser>
        <c:ser>
          <c:idx val="3"/>
          <c:order val="3"/>
          <c:tx>
            <c:strRef>
              <c:f>Sheet1!$A$5</c:f>
              <c:strCache>
                <c:ptCount val="1"/>
                <c:pt idx="0">
                  <c:v>2013</c:v>
                </c:pt>
              </c:strCache>
            </c:strRef>
          </c:tx>
          <c:spPr>
            <a:solidFill>
              <a:schemeClr val="accent6">
                <a:lumMod val="75000"/>
              </a:schemeClr>
            </a:solidFill>
          </c:spPr>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Sheet1!$B$5:$D$5</c:f>
              <c:numCache>
                <c:formatCode>0%</c:formatCode>
                <c:ptCount val="3"/>
                <c:pt idx="0">
                  <c:v>0.38</c:v>
                </c:pt>
                <c:pt idx="1">
                  <c:v>0.41</c:v>
                </c:pt>
                <c:pt idx="2">
                  <c:v>0.39</c:v>
                </c:pt>
              </c:numCache>
            </c:numRef>
          </c:val>
        </c:ser>
        <c:ser>
          <c:idx val="4"/>
          <c:order val="4"/>
          <c:tx>
            <c:strRef>
              <c:f>Sheet1!$A$6</c:f>
              <c:strCache>
                <c:ptCount val="1"/>
                <c:pt idx="0">
                  <c:v>2014</c:v>
                </c:pt>
              </c:strCache>
            </c:strRef>
          </c:tx>
          <c:invertIfNegative val="0"/>
          <c:dLbls>
            <c:txPr>
              <a:bodyPr rot="-5400000" vert="horz"/>
              <a:lstStyle/>
              <a:p>
                <a:pPr>
                  <a:defRPr/>
                </a:pPr>
                <a:endParaRPr lang="fr-FR"/>
              </a:p>
            </c:txPr>
            <c:dLblPos val="outEnd"/>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Sheet1!$B$6:$D$6</c:f>
              <c:numCache>
                <c:formatCode>0%</c:formatCode>
                <c:ptCount val="3"/>
                <c:pt idx="0">
                  <c:v>0.46153846153846156</c:v>
                </c:pt>
                <c:pt idx="1">
                  <c:v>0.15287765900010794</c:v>
                </c:pt>
                <c:pt idx="2">
                  <c:v>0.33010677767678082</c:v>
                </c:pt>
              </c:numCache>
            </c:numRef>
          </c:val>
        </c:ser>
        <c:dLbls>
          <c:showLegendKey val="0"/>
          <c:showVal val="1"/>
          <c:showCatName val="0"/>
          <c:showSerName val="0"/>
          <c:showPercent val="0"/>
          <c:showBubbleSize val="0"/>
        </c:dLbls>
        <c:gapWidth val="150"/>
        <c:overlap val="-25"/>
        <c:axId val="112843776"/>
        <c:axId val="112870144"/>
      </c:barChart>
      <c:catAx>
        <c:axId val="112843776"/>
        <c:scaling>
          <c:orientation val="minMax"/>
        </c:scaling>
        <c:delete val="0"/>
        <c:axPos val="b"/>
        <c:numFmt formatCode="General" sourceLinked="1"/>
        <c:majorTickMark val="none"/>
        <c:minorTickMark val="none"/>
        <c:tickLblPos val="nextTo"/>
        <c:txPr>
          <a:bodyPr rot="0" vert="horz"/>
          <a:lstStyle/>
          <a:p>
            <a:pPr>
              <a:defRPr/>
            </a:pPr>
            <a:endParaRPr lang="fr-FR"/>
          </a:p>
        </c:txPr>
        <c:crossAx val="112870144"/>
        <c:crosses val="autoZero"/>
        <c:auto val="1"/>
        <c:lblAlgn val="ctr"/>
        <c:lblOffset val="100"/>
        <c:tickLblSkip val="1"/>
        <c:tickMarkSkip val="1"/>
        <c:noMultiLvlLbl val="0"/>
      </c:catAx>
      <c:valAx>
        <c:axId val="112870144"/>
        <c:scaling>
          <c:orientation val="minMax"/>
          <c:min val="0"/>
        </c:scaling>
        <c:delete val="1"/>
        <c:axPos val="l"/>
        <c:numFmt formatCode="0%" sourceLinked="1"/>
        <c:majorTickMark val="none"/>
        <c:minorTickMark val="none"/>
        <c:tickLblPos val="nextTo"/>
        <c:crossAx val="112843776"/>
        <c:crosses val="autoZero"/>
        <c:crossBetween val="between"/>
      </c:valAx>
    </c:plotArea>
    <c:legend>
      <c:legendPos val="r"/>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spPr>
            <a:solidFill>
              <a:srgbClr val="4F81BD"/>
            </a:solidFill>
          </c:spPr>
          <c:invertIfNegative val="0"/>
          <c:cat>
            <c:strRef>
              <c:f>Feuil1!$B$1:$I$1</c:f>
              <c:strCache>
                <c:ptCount val="8"/>
                <c:pt idx="0">
                  <c:v>IAA</c:v>
                </c:pt>
                <c:pt idx="1">
                  <c:v>PHAR</c:v>
                </c:pt>
                <c:pt idx="2">
                  <c:v>AUTO</c:v>
                </c:pt>
                <c:pt idx="3">
                  <c:v>IEM</c:v>
                </c:pt>
                <c:pt idx="4">
                  <c:v>CHIM</c:v>
                </c:pt>
                <c:pt idx="5">
                  <c:v>COM</c:v>
                </c:pt>
                <c:pt idx="6">
                  <c:v>TRP</c:v>
                </c:pt>
                <c:pt idx="7">
                  <c:v>Total</c:v>
                </c:pt>
              </c:strCache>
            </c:strRef>
          </c:cat>
          <c:val>
            <c:numRef>
              <c:f>Feuil1!$B$2:$I$2</c:f>
              <c:numCache>
                <c:formatCode>0%</c:formatCode>
                <c:ptCount val="8"/>
                <c:pt idx="0">
                  <c:v>0.34441585246538792</c:v>
                </c:pt>
                <c:pt idx="1">
                  <c:v>0.21255858321927759</c:v>
                </c:pt>
                <c:pt idx="2">
                  <c:v>0.51521697203471561</c:v>
                </c:pt>
                <c:pt idx="3">
                  <c:v>0.36777880753784403</c:v>
                </c:pt>
                <c:pt idx="4">
                  <c:v>0.29518373052855812</c:v>
                </c:pt>
                <c:pt idx="5">
                  <c:v>0.55837338847902229</c:v>
                </c:pt>
                <c:pt idx="6">
                  <c:v>0.15374490174267696</c:v>
                </c:pt>
                <c:pt idx="7">
                  <c:v>0.35711840742342016</c:v>
                </c:pt>
              </c:numCache>
            </c:numRef>
          </c:val>
        </c:ser>
        <c:dLbls>
          <c:showLegendKey val="0"/>
          <c:showVal val="1"/>
          <c:showCatName val="0"/>
          <c:showSerName val="0"/>
          <c:showPercent val="0"/>
          <c:showBubbleSize val="0"/>
        </c:dLbls>
        <c:gapWidth val="66"/>
        <c:overlap val="-25"/>
        <c:axId val="112887296"/>
        <c:axId val="112888832"/>
      </c:barChart>
      <c:catAx>
        <c:axId val="112887296"/>
        <c:scaling>
          <c:orientation val="minMax"/>
        </c:scaling>
        <c:delete val="0"/>
        <c:axPos val="b"/>
        <c:numFmt formatCode="General" sourceLinked="1"/>
        <c:majorTickMark val="out"/>
        <c:minorTickMark val="none"/>
        <c:tickLblPos val="nextTo"/>
        <c:txPr>
          <a:bodyPr rot="0" vert="horz"/>
          <a:lstStyle/>
          <a:p>
            <a:pPr>
              <a:defRPr/>
            </a:pPr>
            <a:endParaRPr lang="fr-FR"/>
          </a:p>
        </c:txPr>
        <c:crossAx val="112888832"/>
        <c:crosses val="autoZero"/>
        <c:auto val="1"/>
        <c:lblAlgn val="ctr"/>
        <c:lblOffset val="100"/>
        <c:tickLblSkip val="1"/>
        <c:tickMarkSkip val="1"/>
        <c:noMultiLvlLbl val="0"/>
      </c:catAx>
      <c:valAx>
        <c:axId val="112888832"/>
        <c:scaling>
          <c:orientation val="minMax"/>
        </c:scaling>
        <c:delete val="1"/>
        <c:axPos val="l"/>
        <c:numFmt formatCode="0%" sourceLinked="1"/>
        <c:majorTickMark val="out"/>
        <c:minorTickMark val="none"/>
        <c:tickLblPos val="nextTo"/>
        <c:crossAx val="112887296"/>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901234567901231E-2"/>
          <c:y val="0.14484007242003621"/>
          <c:w val="0.86419753086419748"/>
          <c:h val="0.54857505014618646"/>
        </c:manualLayout>
      </c:layout>
      <c:barChart>
        <c:barDir val="col"/>
        <c:grouping val="clustered"/>
        <c:varyColors val="0"/>
        <c:ser>
          <c:idx val="2"/>
          <c:order val="0"/>
          <c:spPr>
            <a:solidFill>
              <a:srgbClr val="4F81BD"/>
            </a:solidFill>
          </c:spPr>
          <c:invertIfNegative val="0"/>
          <c:cat>
            <c:strRef>
              <c:f>Feuil1!$B$1:$D$1</c:f>
              <c:strCache>
                <c:ptCount val="3"/>
                <c:pt idx="0">
                  <c:v>COM</c:v>
                </c:pt>
                <c:pt idx="1">
                  <c:v>TRP</c:v>
                </c:pt>
                <c:pt idx="2">
                  <c:v>Total</c:v>
                </c:pt>
              </c:strCache>
            </c:strRef>
          </c:cat>
          <c:val>
            <c:numRef>
              <c:f>Feuil1!$B$2:$D$2</c:f>
              <c:numCache>
                <c:formatCode>0%</c:formatCode>
                <c:ptCount val="3"/>
                <c:pt idx="0">
                  <c:v>0.46153846153846156</c:v>
                </c:pt>
                <c:pt idx="1">
                  <c:v>0.14410970737501344</c:v>
                </c:pt>
                <c:pt idx="2">
                  <c:v>0.32637327268804572</c:v>
                </c:pt>
              </c:numCache>
            </c:numRef>
          </c:val>
        </c:ser>
        <c:dLbls>
          <c:showLegendKey val="0"/>
          <c:showVal val="1"/>
          <c:showCatName val="0"/>
          <c:showSerName val="0"/>
          <c:showPercent val="0"/>
          <c:showBubbleSize val="0"/>
        </c:dLbls>
        <c:gapWidth val="66"/>
        <c:overlap val="-25"/>
        <c:axId val="112905216"/>
        <c:axId val="112907008"/>
      </c:barChart>
      <c:catAx>
        <c:axId val="112905216"/>
        <c:scaling>
          <c:orientation val="minMax"/>
        </c:scaling>
        <c:delete val="0"/>
        <c:axPos val="b"/>
        <c:numFmt formatCode="General" sourceLinked="1"/>
        <c:majorTickMark val="out"/>
        <c:minorTickMark val="none"/>
        <c:tickLblPos val="nextTo"/>
        <c:txPr>
          <a:bodyPr rot="0" vert="horz"/>
          <a:lstStyle/>
          <a:p>
            <a:pPr>
              <a:defRPr/>
            </a:pPr>
            <a:endParaRPr lang="fr-FR"/>
          </a:p>
        </c:txPr>
        <c:crossAx val="112907008"/>
        <c:crosses val="autoZero"/>
        <c:auto val="1"/>
        <c:lblAlgn val="ctr"/>
        <c:lblOffset val="100"/>
        <c:tickLblSkip val="1"/>
        <c:tickMarkSkip val="1"/>
        <c:noMultiLvlLbl val="0"/>
      </c:catAx>
      <c:valAx>
        <c:axId val="112907008"/>
        <c:scaling>
          <c:orientation val="minMax"/>
        </c:scaling>
        <c:delete val="1"/>
        <c:axPos val="l"/>
        <c:numFmt formatCode="0%" sourceLinked="1"/>
        <c:majorTickMark val="out"/>
        <c:minorTickMark val="none"/>
        <c:tickLblPos val="nextTo"/>
        <c:crossAx val="112905216"/>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a:t>TRM</a:t>
            </a:r>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TRM</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Sheet1!$A$2:$A$3</c:f>
              <c:strCache>
                <c:ptCount val="2"/>
                <c:pt idx="0">
                  <c:v>Oui</c:v>
                </c:pt>
                <c:pt idx="1">
                  <c:v>Non</c:v>
                </c:pt>
              </c:strCache>
            </c:strRef>
          </c:cat>
          <c:val>
            <c:numRef>
              <c:f>Sheet1!$B$2:$B$3</c:f>
              <c:numCache>
                <c:formatCode>0%</c:formatCode>
                <c:ptCount val="2"/>
                <c:pt idx="0">
                  <c:v>0.5989904835390949</c:v>
                </c:pt>
                <c:pt idx="1">
                  <c:v>0.4010095164609051</c:v>
                </c:pt>
              </c:numCache>
            </c:numRef>
          </c:val>
        </c:ser>
        <c:dLbls>
          <c:showLegendKey val="0"/>
          <c:showVal val="0"/>
          <c:showCatName val="0"/>
          <c:showSerName val="0"/>
          <c:showPercent val="1"/>
          <c:showBubbleSize val="0"/>
          <c:showLeaderLines val="0"/>
        </c:dLbls>
      </c:pie3DChart>
    </c:plotArea>
    <c:legend>
      <c:legendPos val="t"/>
      <c:overlay val="0"/>
      <c:spPr>
        <a:ln>
          <a:solidFill>
            <a:schemeClr val="bg1">
              <a:lumMod val="50000"/>
            </a:schemeClr>
          </a:solidFill>
        </a:ln>
      </c:spPr>
    </c:legend>
    <c:plotVisOnly val="1"/>
    <c:dispBlanksAs val="zero"/>
    <c:showDLblsOverMax val="0"/>
  </c:chart>
  <c:spPr>
    <a:ln>
      <a:solidFill>
        <a:schemeClr val="bg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PRL</a:t>
            </a:r>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PRL</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Sheet1!$A$2:$A$3</c:f>
              <c:strCache>
                <c:ptCount val="2"/>
                <c:pt idx="0">
                  <c:v>Oui</c:v>
                </c:pt>
                <c:pt idx="1">
                  <c:v>Non</c:v>
                </c:pt>
              </c:strCache>
            </c:strRef>
          </c:cat>
          <c:val>
            <c:numRef>
              <c:f>Sheet1!$B$2:$B$3</c:f>
              <c:numCache>
                <c:formatCode>0%</c:formatCode>
                <c:ptCount val="2"/>
                <c:pt idx="0">
                  <c:v>0.54077025232403708</c:v>
                </c:pt>
                <c:pt idx="1">
                  <c:v>0.45922974767596281</c:v>
                </c:pt>
              </c:numCache>
            </c:numRef>
          </c:val>
        </c:ser>
        <c:dLbls>
          <c:showLegendKey val="0"/>
          <c:showVal val="0"/>
          <c:showCatName val="0"/>
          <c:showSerName val="0"/>
          <c:showPercent val="1"/>
          <c:showBubbleSize val="0"/>
          <c:showLeaderLines val="0"/>
        </c:dLbls>
      </c:pie3DChart>
    </c:plotArea>
    <c:legend>
      <c:legendPos val="t"/>
      <c:overlay val="0"/>
      <c:spPr>
        <a:solidFill>
          <a:sysClr val="window" lastClr="FFFFFF"/>
        </a:solidFill>
        <a:ln>
          <a:solidFill>
            <a:sysClr val="window" lastClr="FFFFFF">
              <a:lumMod val="50000"/>
            </a:sysClr>
          </a:solidFill>
        </a:ln>
      </c:spPr>
    </c:legend>
    <c:plotVisOnly val="1"/>
    <c:dispBlanksAs val="zero"/>
    <c:showDLblsOverMax val="0"/>
  </c:chart>
  <c:spPr>
    <a:ln>
      <a:solidFill>
        <a:sysClr val="window" lastClr="FFFFFF"/>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TRM</a:t>
            </a:r>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TRM</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Sheet1!$A$2:$A$3</c:f>
              <c:strCache>
                <c:ptCount val="2"/>
                <c:pt idx="0">
                  <c:v>Oui</c:v>
                </c:pt>
                <c:pt idx="1">
                  <c:v>Non</c:v>
                </c:pt>
              </c:strCache>
            </c:strRef>
          </c:cat>
          <c:val>
            <c:numRef>
              <c:f>Sheet1!$B$2:$B$3</c:f>
              <c:numCache>
                <c:formatCode>0%</c:formatCode>
                <c:ptCount val="2"/>
                <c:pt idx="0">
                  <c:v>0.64285714285714279</c:v>
                </c:pt>
                <c:pt idx="1">
                  <c:v>0.35714285714285721</c:v>
                </c:pt>
              </c:numCache>
            </c:numRef>
          </c:val>
        </c:ser>
        <c:dLbls>
          <c:showLegendKey val="0"/>
          <c:showVal val="0"/>
          <c:showCatName val="0"/>
          <c:showSerName val="0"/>
          <c:showPercent val="1"/>
          <c:showBubbleSize val="0"/>
          <c:showLeaderLines val="0"/>
        </c:dLbls>
      </c:pie3DChart>
    </c:plotArea>
    <c:legend>
      <c:legendPos val="t"/>
      <c:overlay val="0"/>
      <c:spPr>
        <a:ln>
          <a:solidFill>
            <a:sysClr val="window" lastClr="FFFFFF">
              <a:lumMod val="50000"/>
            </a:sysClr>
          </a:solidFill>
        </a:ln>
      </c:spPr>
    </c:legend>
    <c:plotVisOnly val="1"/>
    <c:dispBlanksAs val="zero"/>
    <c:showDLblsOverMax val="0"/>
  </c:chart>
  <c:spPr>
    <a:ln>
      <a:solidFill>
        <a:schemeClr val="bg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PRL</a:t>
            </a:r>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PRL</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Sheet1!$A$2:$A$3</c:f>
              <c:strCache>
                <c:ptCount val="2"/>
                <c:pt idx="0">
                  <c:v>Oui</c:v>
                </c:pt>
                <c:pt idx="1">
                  <c:v>Non</c:v>
                </c:pt>
              </c:strCache>
            </c:strRef>
          </c:cat>
          <c:val>
            <c:numRef>
              <c:f>Sheet1!$B$2:$B$3</c:f>
              <c:numCache>
                <c:formatCode>0%</c:formatCode>
                <c:ptCount val="2"/>
                <c:pt idx="0">
                  <c:v>0.25</c:v>
                </c:pt>
                <c:pt idx="1">
                  <c:v>0.75</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39085934751222351"/>
          <c:y val="0.19760079973342221"/>
          <c:w val="0.35181981297022002"/>
          <c:h val="0.12051258504383053"/>
        </c:manualLayout>
      </c:layout>
      <c:overlay val="0"/>
      <c:spPr>
        <a:ln>
          <a:solidFill>
            <a:sysClr val="window" lastClr="FFFFFF">
              <a:lumMod val="50000"/>
            </a:sysClr>
          </a:solidFill>
        </a:ln>
      </c:spPr>
    </c:legend>
    <c:plotVisOnly val="1"/>
    <c:dispBlanksAs val="zero"/>
    <c:showDLblsOverMax val="0"/>
  </c:chart>
  <c:spPr>
    <a:ln>
      <a:solidFill>
        <a:schemeClr val="bg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7712267673857836E-2"/>
          <c:y val="0.13095238095238096"/>
          <c:w val="0.87247743422316115"/>
          <c:h val="0.58234626921634791"/>
        </c:manualLayout>
      </c:layout>
      <c:barChart>
        <c:barDir val="bar"/>
        <c:grouping val="percentStacked"/>
        <c:varyColors val="0"/>
        <c:ser>
          <c:idx val="0"/>
          <c:order val="0"/>
          <c:tx>
            <c:strRef>
              <c:f>Feuil1!$A$2</c:f>
              <c:strCache>
                <c:ptCount val="1"/>
                <c:pt idx="0">
                  <c:v>Augmentation</c:v>
                </c:pt>
              </c:strCache>
            </c:strRef>
          </c:tx>
          <c:spPr>
            <a:solidFill>
              <a:schemeClr val="accent5">
                <a:lumMod val="60000"/>
                <a:lumOff val="40000"/>
              </a:schemeClr>
            </a:solidFill>
          </c:spPr>
          <c:invertIfNegative val="0"/>
          <c:cat>
            <c:strRef>
              <c:f>Feuil1!$B$1:$D$1</c:f>
              <c:strCache>
                <c:ptCount val="3"/>
                <c:pt idx="0">
                  <c:v>2012</c:v>
                </c:pt>
                <c:pt idx="1">
                  <c:v>2013</c:v>
                </c:pt>
                <c:pt idx="2">
                  <c:v>2014</c:v>
                </c:pt>
              </c:strCache>
            </c:strRef>
          </c:cat>
          <c:val>
            <c:numRef>
              <c:f>Feuil1!$B$2:$D$2</c:f>
              <c:numCache>
                <c:formatCode>0%</c:formatCode>
                <c:ptCount val="3"/>
                <c:pt idx="0">
                  <c:v>0.27</c:v>
                </c:pt>
                <c:pt idx="1">
                  <c:v>0.42</c:v>
                </c:pt>
                <c:pt idx="2">
                  <c:v>0.24902600885864479</c:v>
                </c:pt>
              </c:numCache>
            </c:numRef>
          </c:val>
        </c:ser>
        <c:ser>
          <c:idx val="1"/>
          <c:order val="1"/>
          <c:tx>
            <c:strRef>
              <c:f>Feuil1!$A$3</c:f>
              <c:strCache>
                <c:ptCount val="1"/>
                <c:pt idx="0">
                  <c:v>Stabilité</c:v>
                </c:pt>
              </c:strCache>
            </c:strRef>
          </c:tx>
          <c:spPr>
            <a:solidFill>
              <a:schemeClr val="accent2">
                <a:lumMod val="60000"/>
                <a:lumOff val="40000"/>
              </a:schemeClr>
            </a:solidFill>
          </c:spPr>
          <c:invertIfNegative val="0"/>
          <c:cat>
            <c:strRef>
              <c:f>Feuil1!$B$1:$D$1</c:f>
              <c:strCache>
                <c:ptCount val="3"/>
                <c:pt idx="0">
                  <c:v>2012</c:v>
                </c:pt>
                <c:pt idx="1">
                  <c:v>2013</c:v>
                </c:pt>
                <c:pt idx="2">
                  <c:v>2014</c:v>
                </c:pt>
              </c:strCache>
            </c:strRef>
          </c:cat>
          <c:val>
            <c:numRef>
              <c:f>Feuil1!$B$3:$D$3</c:f>
              <c:numCache>
                <c:formatCode>0%</c:formatCode>
                <c:ptCount val="3"/>
                <c:pt idx="0">
                  <c:v>0.52</c:v>
                </c:pt>
                <c:pt idx="1">
                  <c:v>0.36</c:v>
                </c:pt>
                <c:pt idx="2">
                  <c:v>0.41684291998099532</c:v>
                </c:pt>
              </c:numCache>
            </c:numRef>
          </c:val>
        </c:ser>
        <c:ser>
          <c:idx val="2"/>
          <c:order val="2"/>
          <c:tx>
            <c:strRef>
              <c:f>Feuil1!$A$4</c:f>
              <c:strCache>
                <c:ptCount val="1"/>
                <c:pt idx="0">
                  <c:v>Diminution</c:v>
                </c:pt>
              </c:strCache>
            </c:strRef>
          </c:tx>
          <c:spPr>
            <a:solidFill>
              <a:schemeClr val="accent3">
                <a:lumMod val="60000"/>
                <a:lumOff val="40000"/>
              </a:schemeClr>
            </a:solidFill>
          </c:spPr>
          <c:invertIfNegative val="0"/>
          <c:cat>
            <c:strRef>
              <c:f>Feuil1!$B$1:$D$1</c:f>
              <c:strCache>
                <c:ptCount val="3"/>
                <c:pt idx="0">
                  <c:v>2012</c:v>
                </c:pt>
                <c:pt idx="1">
                  <c:v>2013</c:v>
                </c:pt>
                <c:pt idx="2">
                  <c:v>2014</c:v>
                </c:pt>
              </c:strCache>
            </c:strRef>
          </c:cat>
          <c:val>
            <c:numRef>
              <c:f>Feuil1!$B$4:$D$4</c:f>
              <c:numCache>
                <c:formatCode>0%</c:formatCode>
                <c:ptCount val="3"/>
                <c:pt idx="0">
                  <c:v>0.2</c:v>
                </c:pt>
                <c:pt idx="1">
                  <c:v>0.21</c:v>
                </c:pt>
                <c:pt idx="2">
                  <c:v>0.33413107116035978</c:v>
                </c:pt>
              </c:numCache>
            </c:numRef>
          </c:val>
        </c:ser>
        <c:ser>
          <c:idx val="3"/>
          <c:order val="3"/>
          <c:tx>
            <c:strRef>
              <c:f>Feuil1!$A$5</c:f>
              <c:strCache>
                <c:ptCount val="1"/>
                <c:pt idx="0">
                  <c:v>Ne se prononce pas</c:v>
                </c:pt>
              </c:strCache>
            </c:strRef>
          </c:tx>
          <c:spPr>
            <a:solidFill>
              <a:schemeClr val="accent4">
                <a:lumMod val="60000"/>
                <a:lumOff val="40000"/>
              </a:schemeClr>
            </a:solidFill>
          </c:spPr>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Pos val="ctr"/>
            <c:showLegendKey val="0"/>
            <c:showVal val="0"/>
            <c:showCatName val="0"/>
            <c:showSerName val="0"/>
            <c:showPercent val="0"/>
            <c:showBubbleSize val="0"/>
          </c:dLbls>
          <c:cat>
            <c:strRef>
              <c:f>Feuil1!$B$1:$D$1</c:f>
              <c:strCache>
                <c:ptCount val="3"/>
                <c:pt idx="0">
                  <c:v>2012</c:v>
                </c:pt>
                <c:pt idx="1">
                  <c:v>2013</c:v>
                </c:pt>
                <c:pt idx="2">
                  <c:v>2014</c:v>
                </c:pt>
              </c:strCache>
            </c:strRef>
          </c:cat>
          <c:val>
            <c:numRef>
              <c:f>Feuil1!$B$5:$D$5</c:f>
              <c:numCache>
                <c:formatCode>0%</c:formatCode>
                <c:ptCount val="3"/>
                <c:pt idx="0">
                  <c:v>0.01</c:v>
                </c:pt>
                <c:pt idx="1">
                  <c:v>0.01</c:v>
                </c:pt>
                <c:pt idx="2">
                  <c:v>0</c:v>
                </c:pt>
              </c:numCache>
            </c:numRef>
          </c:val>
        </c:ser>
        <c:dLbls>
          <c:dLblPos val="ctr"/>
          <c:showLegendKey val="0"/>
          <c:showVal val="1"/>
          <c:showCatName val="0"/>
          <c:showSerName val="0"/>
          <c:showPercent val="0"/>
          <c:showBubbleSize val="0"/>
        </c:dLbls>
        <c:gapWidth val="50"/>
        <c:overlap val="100"/>
        <c:axId val="181763456"/>
        <c:axId val="64676992"/>
      </c:barChart>
      <c:catAx>
        <c:axId val="181763456"/>
        <c:scaling>
          <c:orientation val="minMax"/>
        </c:scaling>
        <c:delete val="0"/>
        <c:axPos val="l"/>
        <c:majorTickMark val="out"/>
        <c:minorTickMark val="none"/>
        <c:tickLblPos val="nextTo"/>
        <c:crossAx val="64676992"/>
        <c:crosses val="autoZero"/>
        <c:auto val="1"/>
        <c:lblAlgn val="ctr"/>
        <c:lblOffset val="100"/>
        <c:noMultiLvlLbl val="0"/>
      </c:catAx>
      <c:valAx>
        <c:axId val="64676992"/>
        <c:scaling>
          <c:orientation val="minMax"/>
        </c:scaling>
        <c:delete val="1"/>
        <c:axPos val="b"/>
        <c:numFmt formatCode="0%" sourceLinked="1"/>
        <c:majorTickMark val="out"/>
        <c:minorTickMark val="none"/>
        <c:tickLblPos val="nextTo"/>
        <c:crossAx val="181763456"/>
        <c:crosses val="autoZero"/>
        <c:crossBetween val="between"/>
      </c:valAx>
    </c:plotArea>
    <c:legend>
      <c:legendPos val="b"/>
      <c:legendEntry>
        <c:idx val="0"/>
        <c:delete val="1"/>
      </c:legendEntry>
      <c:legendEntry>
        <c:idx val="1"/>
        <c:delete val="1"/>
      </c:legendEntry>
      <c:layout>
        <c:manualLayout>
          <c:xMode val="edge"/>
          <c:yMode val="edge"/>
          <c:x val="8.2282397627125893E-3"/>
          <c:y val="0.71329865016872895"/>
          <c:w val="0.59329961803555054"/>
          <c:h val="0.21527277840269965"/>
        </c:manualLayout>
      </c:layout>
      <c:overlay val="0"/>
    </c:legend>
    <c:plotVisOnly val="1"/>
    <c:dispBlanksAs val="gap"/>
    <c:showDLblsOverMax val="0"/>
  </c:chart>
  <c:spPr>
    <a:ln>
      <a:solidFill>
        <a:schemeClr val="bg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TRP</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Sheet1!$A$2:$A$3</c:f>
              <c:strCache>
                <c:ptCount val="2"/>
                <c:pt idx="0">
                  <c:v>Oui</c:v>
                </c:pt>
                <c:pt idx="1">
                  <c:v>Non</c:v>
                </c:pt>
              </c:strCache>
            </c:strRef>
          </c:cat>
          <c:val>
            <c:numRef>
              <c:f>Sheet1!$B$2:$B$3</c:f>
              <c:numCache>
                <c:formatCode>0%</c:formatCode>
                <c:ptCount val="2"/>
                <c:pt idx="0">
                  <c:v>0.9179995386976959</c:v>
                </c:pt>
                <c:pt idx="1">
                  <c:v>6.03669739364198E-2</c:v>
                </c:pt>
              </c:numCache>
            </c:numRef>
          </c:val>
        </c:ser>
        <c:dLbls>
          <c:showLegendKey val="0"/>
          <c:showVal val="0"/>
          <c:showCatName val="0"/>
          <c:showSerName val="0"/>
          <c:showPercent val="1"/>
          <c:showBubbleSize val="0"/>
          <c:showLeaderLines val="0"/>
        </c:dLbls>
      </c:pie3DChart>
    </c:plotArea>
    <c:legend>
      <c:legendPos val="t"/>
      <c:overlay val="0"/>
      <c:spPr>
        <a:ln>
          <a:solidFill>
            <a:sysClr val="window" lastClr="FFFFFF">
              <a:lumMod val="50000"/>
            </a:sysClr>
          </a:solidFill>
        </a:ln>
      </c:spPr>
    </c:legend>
    <c:plotVisOnly val="1"/>
    <c:dispBlanksAs val="zero"/>
    <c:showDLblsOverMax val="0"/>
  </c:chart>
  <c:spPr>
    <a:ln>
      <a:solidFill>
        <a:schemeClr val="bg1"/>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138868186677368"/>
          <c:y val="0.2480647510684201"/>
          <c:w val="0.82165175136240487"/>
          <c:h val="0.62361710021849359"/>
        </c:manualLayout>
      </c:layout>
      <c:pie3DChart>
        <c:varyColors val="1"/>
        <c:ser>
          <c:idx val="0"/>
          <c:order val="0"/>
          <c:tx>
            <c:strRef>
              <c:f>Sheet1!$B$1</c:f>
              <c:strCache>
                <c:ptCount val="1"/>
                <c:pt idx="0">
                  <c:v>TRP</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Sheet1!$A$2:$A$3</c:f>
              <c:strCache>
                <c:ptCount val="2"/>
                <c:pt idx="0">
                  <c:v>Oui</c:v>
                </c:pt>
                <c:pt idx="1">
                  <c:v>Non</c:v>
                </c:pt>
              </c:strCache>
            </c:strRef>
          </c:cat>
          <c:val>
            <c:numRef>
              <c:f>Sheet1!$B$2:$B$3</c:f>
              <c:numCache>
                <c:formatCode>0%</c:formatCode>
                <c:ptCount val="2"/>
                <c:pt idx="0">
                  <c:v>0.88209952027090588</c:v>
                </c:pt>
                <c:pt idx="1">
                  <c:v>0.10262440033863231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36051734497043286"/>
          <c:y val="5.2160338596418894E-2"/>
          <c:w val="0.34323203488313275"/>
          <c:h val="0.13320746508896333"/>
        </c:manualLayout>
      </c:layout>
      <c:overlay val="0"/>
      <c:spPr>
        <a:ln>
          <a:solidFill>
            <a:sysClr val="window" lastClr="FFFFFF">
              <a:lumMod val="50000"/>
            </a:sysClr>
          </a:solidFill>
        </a:ln>
      </c:spPr>
    </c:legend>
    <c:plotVisOnly val="1"/>
    <c:dispBlanksAs val="zero"/>
    <c:showDLblsOverMax val="0"/>
  </c:chart>
  <c:spPr>
    <a:ln>
      <a:solidFill>
        <a:schemeClr val="bg1"/>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plotArea>
      <c:layout/>
      <c:lineChart>
        <c:grouping val="standard"/>
        <c:varyColors val="0"/>
        <c:ser>
          <c:idx val="0"/>
          <c:order val="0"/>
          <c:tx>
            <c:strRef>
              <c:f>Sheet1!$A$2</c:f>
              <c:strCache>
                <c:ptCount val="1"/>
              </c:strCache>
            </c:strRef>
          </c:tx>
          <c:dLbls>
            <c:dLblPos val="t"/>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Sheet1!$B$2:$L$2</c:f>
              <c:numCache>
                <c:formatCode>0%</c:formatCode>
                <c:ptCount val="11"/>
                <c:pt idx="0">
                  <c:v>0.75</c:v>
                </c:pt>
                <c:pt idx="1">
                  <c:v>0.71</c:v>
                </c:pt>
                <c:pt idx="2">
                  <c:v>0.8</c:v>
                </c:pt>
                <c:pt idx="3">
                  <c:v>0.89</c:v>
                </c:pt>
                <c:pt idx="4">
                  <c:v>0.84</c:v>
                </c:pt>
                <c:pt idx="5">
                  <c:v>0.8</c:v>
                </c:pt>
                <c:pt idx="6">
                  <c:v>0.86</c:v>
                </c:pt>
                <c:pt idx="7">
                  <c:v>0.81</c:v>
                </c:pt>
                <c:pt idx="8">
                  <c:v>0.91</c:v>
                </c:pt>
                <c:pt idx="9">
                  <c:v>0.91</c:v>
                </c:pt>
                <c:pt idx="10">
                  <c:v>0.9</c:v>
                </c:pt>
              </c:numCache>
            </c:numRef>
          </c:val>
          <c:smooth val="0"/>
        </c:ser>
        <c:dLbls>
          <c:showLegendKey val="0"/>
          <c:showVal val="1"/>
          <c:showCatName val="0"/>
          <c:showSerName val="0"/>
          <c:showPercent val="0"/>
          <c:showBubbleSize val="0"/>
        </c:dLbls>
        <c:marker val="1"/>
        <c:smooth val="0"/>
        <c:axId val="113443200"/>
        <c:axId val="113445888"/>
      </c:lineChart>
      <c:catAx>
        <c:axId val="113443200"/>
        <c:scaling>
          <c:orientation val="minMax"/>
        </c:scaling>
        <c:delete val="0"/>
        <c:axPos val="b"/>
        <c:numFmt formatCode="General" sourceLinked="1"/>
        <c:majorTickMark val="none"/>
        <c:minorTickMark val="none"/>
        <c:tickLblPos val="nextTo"/>
        <c:txPr>
          <a:bodyPr rot="0" vert="horz"/>
          <a:lstStyle/>
          <a:p>
            <a:pPr>
              <a:defRPr/>
            </a:pPr>
            <a:endParaRPr lang="fr-FR"/>
          </a:p>
        </c:txPr>
        <c:crossAx val="113445888"/>
        <c:crosses val="autoZero"/>
        <c:auto val="1"/>
        <c:lblAlgn val="ctr"/>
        <c:lblOffset val="100"/>
        <c:tickLblSkip val="1"/>
        <c:tickMarkSkip val="1"/>
        <c:noMultiLvlLbl val="0"/>
      </c:catAx>
      <c:valAx>
        <c:axId val="113445888"/>
        <c:scaling>
          <c:orientation val="minMax"/>
          <c:min val="0.6"/>
        </c:scaling>
        <c:delete val="1"/>
        <c:axPos val="l"/>
        <c:numFmt formatCode="0%" sourceLinked="1"/>
        <c:majorTickMark val="none"/>
        <c:minorTickMark val="none"/>
        <c:tickLblPos val="nextTo"/>
        <c:crossAx val="113443200"/>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1.4898291698100249E-2"/>
          <c:y val="9.5261409718845877E-2"/>
          <c:w val="0.9702034166037995"/>
          <c:h val="0.66982886359343496"/>
        </c:manualLayout>
      </c:layout>
      <c:barChart>
        <c:barDir val="col"/>
        <c:grouping val="clustered"/>
        <c:varyColors val="0"/>
        <c:ser>
          <c:idx val="2"/>
          <c:order val="0"/>
          <c:tx>
            <c:strRef>
              <c:f>Sheet1!$A$2</c:f>
              <c:strCache>
                <c:ptCount val="1"/>
                <c:pt idx="0">
                  <c:v>2009</c:v>
                </c:pt>
              </c:strCache>
            </c:strRef>
          </c:tx>
          <c:invertIfNegative val="0"/>
          <c:cat>
            <c:strRef>
              <c:f>Sheet1!$B$1:$C$1</c:f>
              <c:strCache>
                <c:ptCount val="2"/>
                <c:pt idx="0">
                  <c:v>100 salariés et plus</c:v>
                </c:pt>
                <c:pt idx="1">
                  <c:v>de 50 à 99 salariés</c:v>
                </c:pt>
              </c:strCache>
            </c:strRef>
          </c:cat>
          <c:val>
            <c:numRef>
              <c:f>Sheet1!$B$2:$C$2</c:f>
              <c:numCache>
                <c:formatCode>0%</c:formatCode>
                <c:ptCount val="2"/>
                <c:pt idx="0">
                  <c:v>0.76</c:v>
                </c:pt>
                <c:pt idx="1">
                  <c:v>0.81</c:v>
                </c:pt>
              </c:numCache>
            </c:numRef>
          </c:val>
        </c:ser>
        <c:ser>
          <c:idx val="3"/>
          <c:order val="1"/>
          <c:tx>
            <c:strRef>
              <c:f>Sheet1!$A$3</c:f>
              <c:strCache>
                <c:ptCount val="1"/>
                <c:pt idx="0">
                  <c:v>2010</c:v>
                </c:pt>
              </c:strCache>
            </c:strRef>
          </c:tx>
          <c:invertIfNegative val="0"/>
          <c:cat>
            <c:strRef>
              <c:f>Sheet1!$B$1:$C$1</c:f>
              <c:strCache>
                <c:ptCount val="2"/>
                <c:pt idx="0">
                  <c:v>100 salariés et plus</c:v>
                </c:pt>
                <c:pt idx="1">
                  <c:v>de 50 à 99 salariés</c:v>
                </c:pt>
              </c:strCache>
            </c:strRef>
          </c:cat>
          <c:val>
            <c:numRef>
              <c:f>Sheet1!$B$3:$C$3</c:f>
              <c:numCache>
                <c:formatCode>0%</c:formatCode>
                <c:ptCount val="2"/>
                <c:pt idx="0">
                  <c:v>0.9</c:v>
                </c:pt>
                <c:pt idx="1">
                  <c:v>0.65</c:v>
                </c:pt>
              </c:numCache>
            </c:numRef>
          </c:val>
        </c:ser>
        <c:ser>
          <c:idx val="0"/>
          <c:order val="2"/>
          <c:tx>
            <c:strRef>
              <c:f>Sheet1!$A$4</c:f>
              <c:strCache>
                <c:ptCount val="1"/>
                <c:pt idx="0">
                  <c:v>2011</c:v>
                </c:pt>
              </c:strCache>
            </c:strRef>
          </c:tx>
          <c:invertIfNegative val="0"/>
          <c:cat>
            <c:strRef>
              <c:f>Sheet1!$B$1:$C$1</c:f>
              <c:strCache>
                <c:ptCount val="2"/>
                <c:pt idx="0">
                  <c:v>100 salariés et plus</c:v>
                </c:pt>
                <c:pt idx="1">
                  <c:v>de 50 à 99 salariés</c:v>
                </c:pt>
              </c:strCache>
            </c:strRef>
          </c:cat>
          <c:val>
            <c:numRef>
              <c:f>Sheet1!$B$4:$C$4</c:f>
              <c:numCache>
                <c:formatCode>0%</c:formatCode>
                <c:ptCount val="2"/>
                <c:pt idx="0">
                  <c:v>0.8</c:v>
                </c:pt>
                <c:pt idx="1">
                  <c:v>0.64</c:v>
                </c:pt>
              </c:numCache>
            </c:numRef>
          </c:val>
        </c:ser>
        <c:ser>
          <c:idx val="1"/>
          <c:order val="3"/>
          <c:tx>
            <c:strRef>
              <c:f>Sheet1!$A$5</c:f>
              <c:strCache>
                <c:ptCount val="1"/>
                <c:pt idx="0">
                  <c:v>2012</c:v>
                </c:pt>
              </c:strCache>
            </c:strRef>
          </c:tx>
          <c:invertIfNegative val="0"/>
          <c:cat>
            <c:strRef>
              <c:f>Sheet1!$B$1:$C$1</c:f>
              <c:strCache>
                <c:ptCount val="2"/>
                <c:pt idx="0">
                  <c:v>100 salariés et plus</c:v>
                </c:pt>
                <c:pt idx="1">
                  <c:v>de 50 à 99 salariés</c:v>
                </c:pt>
              </c:strCache>
            </c:strRef>
          </c:cat>
          <c:val>
            <c:numRef>
              <c:f>Sheet1!$B$5:$C$5</c:f>
              <c:numCache>
                <c:formatCode>0%</c:formatCode>
                <c:ptCount val="2"/>
                <c:pt idx="0">
                  <c:v>0.89</c:v>
                </c:pt>
                <c:pt idx="1">
                  <c:v>0.78</c:v>
                </c:pt>
              </c:numCache>
            </c:numRef>
          </c:val>
        </c:ser>
        <c:ser>
          <c:idx val="4"/>
          <c:order val="4"/>
          <c:tx>
            <c:strRef>
              <c:f>Sheet1!$A$6</c:f>
              <c:strCache>
                <c:ptCount val="1"/>
                <c:pt idx="0">
                  <c:v>2013</c:v>
                </c:pt>
              </c:strCache>
            </c:strRef>
          </c:tx>
          <c:invertIfNegative val="0"/>
          <c:cat>
            <c:strRef>
              <c:f>Sheet1!$B$1:$C$1</c:f>
              <c:strCache>
                <c:ptCount val="2"/>
                <c:pt idx="0">
                  <c:v>100 salariés et plus</c:v>
                </c:pt>
                <c:pt idx="1">
                  <c:v>de 50 à 99 salariés</c:v>
                </c:pt>
              </c:strCache>
            </c:strRef>
          </c:cat>
          <c:val>
            <c:numRef>
              <c:f>Sheet1!$B$6:$C$6</c:f>
              <c:numCache>
                <c:formatCode>0%</c:formatCode>
                <c:ptCount val="2"/>
                <c:pt idx="0">
                  <c:v>0.89</c:v>
                </c:pt>
                <c:pt idx="1">
                  <c:v>0.88</c:v>
                </c:pt>
              </c:numCache>
            </c:numRef>
          </c:val>
        </c:ser>
        <c:ser>
          <c:idx val="5"/>
          <c:order val="5"/>
          <c:tx>
            <c:strRef>
              <c:f>Sheet1!$A$7</c:f>
              <c:strCache>
                <c:ptCount val="1"/>
                <c:pt idx="0">
                  <c:v>2014</c:v>
                </c:pt>
              </c:strCache>
            </c:strRef>
          </c:tx>
          <c:invertIfNegative val="0"/>
          <c:cat>
            <c:strRef>
              <c:f>Sheet1!$B$1:$C$1</c:f>
              <c:strCache>
                <c:ptCount val="2"/>
                <c:pt idx="0">
                  <c:v>100 salariés et plus</c:v>
                </c:pt>
                <c:pt idx="1">
                  <c:v>de 50 à 99 salariés</c:v>
                </c:pt>
              </c:strCache>
            </c:strRef>
          </c:cat>
          <c:val>
            <c:numRef>
              <c:f>Sheet1!$B$7:$C$7</c:f>
              <c:numCache>
                <c:formatCode>0%</c:formatCode>
                <c:ptCount val="2"/>
                <c:pt idx="0">
                  <c:v>0.87</c:v>
                </c:pt>
                <c:pt idx="1">
                  <c:v>0.82</c:v>
                </c:pt>
              </c:numCache>
            </c:numRef>
          </c:val>
        </c:ser>
        <c:dLbls>
          <c:showLegendKey val="0"/>
          <c:showVal val="1"/>
          <c:showCatName val="0"/>
          <c:showSerName val="0"/>
          <c:showPercent val="0"/>
          <c:showBubbleSize val="0"/>
        </c:dLbls>
        <c:gapWidth val="150"/>
        <c:overlap val="-25"/>
        <c:axId val="113538560"/>
        <c:axId val="113540096"/>
      </c:barChart>
      <c:catAx>
        <c:axId val="113538560"/>
        <c:scaling>
          <c:orientation val="minMax"/>
        </c:scaling>
        <c:delete val="0"/>
        <c:axPos val="b"/>
        <c:numFmt formatCode="General" sourceLinked="1"/>
        <c:majorTickMark val="none"/>
        <c:minorTickMark val="none"/>
        <c:tickLblPos val="nextTo"/>
        <c:txPr>
          <a:bodyPr rot="0" vert="horz"/>
          <a:lstStyle/>
          <a:p>
            <a:pPr>
              <a:defRPr/>
            </a:pPr>
            <a:endParaRPr lang="fr-FR"/>
          </a:p>
        </c:txPr>
        <c:crossAx val="113540096"/>
        <c:crosses val="autoZero"/>
        <c:auto val="1"/>
        <c:lblAlgn val="ctr"/>
        <c:lblOffset val="100"/>
        <c:tickLblSkip val="1"/>
        <c:tickMarkSkip val="1"/>
        <c:noMultiLvlLbl val="0"/>
      </c:catAx>
      <c:valAx>
        <c:axId val="113540096"/>
        <c:scaling>
          <c:orientation val="minMax"/>
        </c:scaling>
        <c:delete val="1"/>
        <c:axPos val="l"/>
        <c:numFmt formatCode="0%" sourceLinked="1"/>
        <c:majorTickMark val="out"/>
        <c:minorTickMark val="none"/>
        <c:tickLblPos val="nextTo"/>
        <c:crossAx val="113538560"/>
        <c:crosses val="autoZero"/>
        <c:crossBetween val="between"/>
      </c:valAx>
    </c:plotArea>
    <c:legend>
      <c:legendPos val="b"/>
      <c:layout>
        <c:manualLayout>
          <c:xMode val="edge"/>
          <c:yMode val="edge"/>
          <c:x val="0.33640012055138824"/>
          <c:y val="0.84048945682637133"/>
          <c:w val="0.30501931161043894"/>
          <c:h val="0.15951089447152439"/>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1.5008860213612047E-2"/>
          <c:y val="4.5031998986474808E-2"/>
          <c:w val="0.96998226224587258"/>
          <c:h val="0.7367546341523088"/>
        </c:manualLayout>
      </c:layout>
      <c:barChart>
        <c:barDir val="col"/>
        <c:grouping val="clustered"/>
        <c:varyColors val="0"/>
        <c:ser>
          <c:idx val="2"/>
          <c:order val="0"/>
          <c:tx>
            <c:strRef>
              <c:f>Sheet1!$A$2</c:f>
              <c:strCache>
                <c:ptCount val="1"/>
                <c:pt idx="0">
                  <c:v>2009</c:v>
                </c:pt>
              </c:strCache>
            </c:strRef>
          </c:tx>
          <c:invertIfNegative val="0"/>
          <c:cat>
            <c:strRef>
              <c:f>Sheet1!$B$1:$C$1</c:f>
              <c:strCache>
                <c:ptCount val="2"/>
                <c:pt idx="0">
                  <c:v>100 salariés et plus</c:v>
                </c:pt>
                <c:pt idx="1">
                  <c:v>de 50 à 99 salariés</c:v>
                </c:pt>
              </c:strCache>
            </c:strRef>
          </c:cat>
          <c:val>
            <c:numRef>
              <c:f>Sheet1!$B$2:$C$2</c:f>
              <c:numCache>
                <c:formatCode>0%</c:formatCode>
                <c:ptCount val="2"/>
                <c:pt idx="0">
                  <c:v>0.11</c:v>
                </c:pt>
                <c:pt idx="1">
                  <c:v>0.08</c:v>
                </c:pt>
              </c:numCache>
            </c:numRef>
          </c:val>
        </c:ser>
        <c:ser>
          <c:idx val="3"/>
          <c:order val="1"/>
          <c:tx>
            <c:strRef>
              <c:f>Sheet1!$A$3</c:f>
              <c:strCache>
                <c:ptCount val="1"/>
                <c:pt idx="0">
                  <c:v>2010</c:v>
                </c:pt>
              </c:strCache>
            </c:strRef>
          </c:tx>
          <c:invertIfNegative val="0"/>
          <c:cat>
            <c:strRef>
              <c:f>Sheet1!$B$1:$C$1</c:f>
              <c:strCache>
                <c:ptCount val="2"/>
                <c:pt idx="0">
                  <c:v>100 salariés et plus</c:v>
                </c:pt>
                <c:pt idx="1">
                  <c:v>de 50 à 99 salariés</c:v>
                </c:pt>
              </c:strCache>
            </c:strRef>
          </c:cat>
          <c:val>
            <c:numRef>
              <c:f>Sheet1!$B$3:$C$3</c:f>
              <c:numCache>
                <c:formatCode>0%</c:formatCode>
                <c:ptCount val="2"/>
                <c:pt idx="0">
                  <c:v>0.25</c:v>
                </c:pt>
                <c:pt idx="1">
                  <c:v>0.03</c:v>
                </c:pt>
              </c:numCache>
            </c:numRef>
          </c:val>
        </c:ser>
        <c:ser>
          <c:idx val="0"/>
          <c:order val="2"/>
          <c:tx>
            <c:strRef>
              <c:f>Sheet1!$A$4</c:f>
              <c:strCache>
                <c:ptCount val="1"/>
                <c:pt idx="0">
                  <c:v>2011</c:v>
                </c:pt>
              </c:strCache>
            </c:strRef>
          </c:tx>
          <c:invertIfNegative val="0"/>
          <c:cat>
            <c:strRef>
              <c:f>Sheet1!$B$1:$C$1</c:f>
              <c:strCache>
                <c:ptCount val="2"/>
                <c:pt idx="0">
                  <c:v>100 salariés et plus</c:v>
                </c:pt>
                <c:pt idx="1">
                  <c:v>de 50 à 99 salariés</c:v>
                </c:pt>
              </c:strCache>
            </c:strRef>
          </c:cat>
          <c:val>
            <c:numRef>
              <c:f>Sheet1!$B$4:$C$4</c:f>
              <c:numCache>
                <c:formatCode>0%</c:formatCode>
                <c:ptCount val="2"/>
                <c:pt idx="0">
                  <c:v>0.24</c:v>
                </c:pt>
                <c:pt idx="1">
                  <c:v>0.05</c:v>
                </c:pt>
              </c:numCache>
            </c:numRef>
          </c:val>
        </c:ser>
        <c:ser>
          <c:idx val="1"/>
          <c:order val="3"/>
          <c:tx>
            <c:strRef>
              <c:f>Sheet1!$A$5</c:f>
              <c:strCache>
                <c:ptCount val="1"/>
                <c:pt idx="0">
                  <c:v>2012</c:v>
                </c:pt>
              </c:strCache>
            </c:strRef>
          </c:tx>
          <c:invertIfNegative val="0"/>
          <c:cat>
            <c:strRef>
              <c:f>Sheet1!$B$1:$C$1</c:f>
              <c:strCache>
                <c:ptCount val="2"/>
                <c:pt idx="0">
                  <c:v>100 salariés et plus</c:v>
                </c:pt>
                <c:pt idx="1">
                  <c:v>de 50 à 99 salariés</c:v>
                </c:pt>
              </c:strCache>
            </c:strRef>
          </c:cat>
          <c:val>
            <c:numRef>
              <c:f>Sheet1!$B$5:$C$5</c:f>
              <c:numCache>
                <c:formatCode>0%</c:formatCode>
                <c:ptCount val="2"/>
                <c:pt idx="0">
                  <c:v>0.25</c:v>
                </c:pt>
                <c:pt idx="1">
                  <c:v>0.18</c:v>
                </c:pt>
              </c:numCache>
            </c:numRef>
          </c:val>
        </c:ser>
        <c:ser>
          <c:idx val="4"/>
          <c:order val="4"/>
          <c:tx>
            <c:strRef>
              <c:f>Sheet1!$A$6</c:f>
              <c:strCache>
                <c:ptCount val="1"/>
                <c:pt idx="0">
                  <c:v>2013</c:v>
                </c:pt>
              </c:strCache>
            </c:strRef>
          </c:tx>
          <c:invertIfNegative val="0"/>
          <c:cat>
            <c:strRef>
              <c:f>Sheet1!$B$1:$C$1</c:f>
              <c:strCache>
                <c:ptCount val="2"/>
                <c:pt idx="0">
                  <c:v>100 salariés et plus</c:v>
                </c:pt>
                <c:pt idx="1">
                  <c:v>de 50 à 99 salariés</c:v>
                </c:pt>
              </c:strCache>
            </c:strRef>
          </c:cat>
          <c:val>
            <c:numRef>
              <c:f>Sheet1!$B$6:$C$6</c:f>
              <c:numCache>
                <c:formatCode>0%</c:formatCode>
                <c:ptCount val="2"/>
                <c:pt idx="0">
                  <c:v>0.3</c:v>
                </c:pt>
                <c:pt idx="1">
                  <c:v>0.12</c:v>
                </c:pt>
              </c:numCache>
            </c:numRef>
          </c:val>
        </c:ser>
        <c:ser>
          <c:idx val="5"/>
          <c:order val="5"/>
          <c:tx>
            <c:strRef>
              <c:f>Sheet1!$A$7</c:f>
              <c:strCache>
                <c:ptCount val="1"/>
                <c:pt idx="0">
                  <c:v>2014</c:v>
                </c:pt>
              </c:strCache>
            </c:strRef>
          </c:tx>
          <c:invertIfNegative val="0"/>
          <c:dLbls>
            <c:spPr>
              <a:ln>
                <a:solidFill>
                  <a:schemeClr val="bg1"/>
                </a:solidFill>
              </a:ln>
            </c:spPr>
            <c:showLegendKey val="0"/>
            <c:showVal val="1"/>
            <c:showCatName val="0"/>
            <c:showSerName val="0"/>
            <c:showPercent val="0"/>
            <c:showBubbleSize val="0"/>
            <c:showLeaderLines val="0"/>
          </c:dLbls>
          <c:cat>
            <c:strRef>
              <c:f>Sheet1!$B$1:$C$1</c:f>
              <c:strCache>
                <c:ptCount val="2"/>
                <c:pt idx="0">
                  <c:v>100 salariés et plus</c:v>
                </c:pt>
                <c:pt idx="1">
                  <c:v>de 50 à 99 salariés</c:v>
                </c:pt>
              </c:strCache>
            </c:strRef>
          </c:cat>
          <c:val>
            <c:numRef>
              <c:f>Sheet1!$B$7:$C$7</c:f>
              <c:numCache>
                <c:formatCode>0%</c:formatCode>
                <c:ptCount val="2"/>
                <c:pt idx="0">
                  <c:v>0.3</c:v>
                </c:pt>
                <c:pt idx="1">
                  <c:v>0.08</c:v>
                </c:pt>
              </c:numCache>
            </c:numRef>
          </c:val>
        </c:ser>
        <c:dLbls>
          <c:showLegendKey val="0"/>
          <c:showVal val="1"/>
          <c:showCatName val="0"/>
          <c:showSerName val="0"/>
          <c:showPercent val="0"/>
          <c:showBubbleSize val="0"/>
        </c:dLbls>
        <c:gapWidth val="150"/>
        <c:overlap val="-25"/>
        <c:axId val="113547136"/>
        <c:axId val="113986176"/>
      </c:barChart>
      <c:catAx>
        <c:axId val="113547136"/>
        <c:scaling>
          <c:orientation val="minMax"/>
        </c:scaling>
        <c:delete val="0"/>
        <c:axPos val="b"/>
        <c:numFmt formatCode="General" sourceLinked="1"/>
        <c:majorTickMark val="none"/>
        <c:minorTickMark val="none"/>
        <c:tickLblPos val="nextTo"/>
        <c:txPr>
          <a:bodyPr rot="0" vert="horz"/>
          <a:lstStyle/>
          <a:p>
            <a:pPr>
              <a:defRPr/>
            </a:pPr>
            <a:endParaRPr lang="fr-FR"/>
          </a:p>
        </c:txPr>
        <c:crossAx val="113986176"/>
        <c:crosses val="autoZero"/>
        <c:auto val="1"/>
        <c:lblAlgn val="ctr"/>
        <c:lblOffset val="100"/>
        <c:tickLblSkip val="1"/>
        <c:tickMarkSkip val="1"/>
        <c:noMultiLvlLbl val="0"/>
      </c:catAx>
      <c:valAx>
        <c:axId val="113986176"/>
        <c:scaling>
          <c:orientation val="minMax"/>
        </c:scaling>
        <c:delete val="1"/>
        <c:axPos val="l"/>
        <c:numFmt formatCode="0%" sourceLinked="1"/>
        <c:majorTickMark val="out"/>
        <c:minorTickMark val="none"/>
        <c:tickLblPos val="nextTo"/>
        <c:crossAx val="113547136"/>
        <c:crosses val="autoZero"/>
        <c:crossBetween val="between"/>
      </c:valAx>
    </c:plotArea>
    <c:legend>
      <c:legendPos val="b"/>
      <c:layout>
        <c:manualLayout>
          <c:xMode val="edge"/>
          <c:yMode val="edge"/>
          <c:x val="0.34071276212405333"/>
          <c:y val="0.84743451437171036"/>
          <c:w val="0.3072047109771463"/>
          <c:h val="0.12344770772266606"/>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2.1113243761996161E-2"/>
          <c:y val="0"/>
          <c:w val="0.96161228406909793"/>
          <c:h val="0.81750966446821405"/>
        </c:manualLayout>
      </c:layout>
      <c:barChart>
        <c:barDir val="col"/>
        <c:grouping val="clustered"/>
        <c:varyColors val="0"/>
        <c:ser>
          <c:idx val="0"/>
          <c:order val="0"/>
          <c:tx>
            <c:strRef>
              <c:f>Sheet1!$A$2</c:f>
              <c:strCache>
                <c:ptCount val="1"/>
              </c:strCache>
            </c:strRef>
          </c:tx>
          <c:invertIfNegative val="0"/>
          <c:dLbls>
            <c:dLbl>
              <c:idx val="3"/>
              <c:layout>
                <c:manualLayout>
                  <c:x val="1.574183392365210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Sheet1!$B$1:$L$1</c:f>
              <c:strCache>
                <c:ptCount val="11"/>
                <c:pt idx="0">
                  <c:v>IAA</c:v>
                </c:pt>
                <c:pt idx="1">
                  <c:v>PHAR</c:v>
                </c:pt>
                <c:pt idx="2">
                  <c:v>AUTO</c:v>
                </c:pt>
                <c:pt idx="3">
                  <c:v>IEM</c:v>
                </c:pt>
                <c:pt idx="4">
                  <c:v>CHIM</c:v>
                </c:pt>
                <c:pt idx="5">
                  <c:v>COM</c:v>
                </c:pt>
                <c:pt idx="6">
                  <c:v>Total</c:v>
                </c:pt>
                <c:pt idx="10">
                  <c:v>COM</c:v>
                </c:pt>
              </c:strCache>
            </c:strRef>
          </c:cat>
          <c:val>
            <c:numRef>
              <c:f>Sheet1!$B$2:$L$2</c:f>
              <c:numCache>
                <c:formatCode>0%</c:formatCode>
                <c:ptCount val="11"/>
                <c:pt idx="0">
                  <c:v>0.83</c:v>
                </c:pt>
                <c:pt idx="1">
                  <c:v>0.85</c:v>
                </c:pt>
                <c:pt idx="2">
                  <c:v>0.81</c:v>
                </c:pt>
                <c:pt idx="3">
                  <c:v>0.98</c:v>
                </c:pt>
                <c:pt idx="4">
                  <c:v>0.9</c:v>
                </c:pt>
                <c:pt idx="5">
                  <c:v>0.91</c:v>
                </c:pt>
                <c:pt idx="6">
                  <c:v>0.9</c:v>
                </c:pt>
                <c:pt idx="10">
                  <c:v>0.82051282051282037</c:v>
                </c:pt>
              </c:numCache>
            </c:numRef>
          </c:val>
        </c:ser>
        <c:dLbls>
          <c:showLegendKey val="0"/>
          <c:showVal val="1"/>
          <c:showCatName val="0"/>
          <c:showSerName val="0"/>
          <c:showPercent val="0"/>
          <c:showBubbleSize val="0"/>
        </c:dLbls>
        <c:gapWidth val="90"/>
        <c:axId val="114001408"/>
        <c:axId val="114008448"/>
      </c:barChart>
      <c:catAx>
        <c:axId val="114001408"/>
        <c:scaling>
          <c:orientation val="minMax"/>
        </c:scaling>
        <c:delete val="0"/>
        <c:axPos val="b"/>
        <c:numFmt formatCode="General" sourceLinked="1"/>
        <c:majorTickMark val="out"/>
        <c:minorTickMark val="none"/>
        <c:tickLblPos val="nextTo"/>
        <c:spPr>
          <a:ln>
            <a:noFill/>
          </a:ln>
        </c:spPr>
        <c:txPr>
          <a:bodyPr rot="0" vert="horz"/>
          <a:lstStyle/>
          <a:p>
            <a:pPr>
              <a:defRPr/>
            </a:pPr>
            <a:endParaRPr lang="fr-FR"/>
          </a:p>
        </c:txPr>
        <c:crossAx val="114008448"/>
        <c:crosses val="autoZero"/>
        <c:auto val="1"/>
        <c:lblAlgn val="ctr"/>
        <c:lblOffset val="100"/>
        <c:tickLblSkip val="1"/>
        <c:tickMarkSkip val="1"/>
        <c:noMultiLvlLbl val="0"/>
      </c:catAx>
      <c:valAx>
        <c:axId val="114008448"/>
        <c:scaling>
          <c:orientation val="minMax"/>
        </c:scaling>
        <c:delete val="1"/>
        <c:axPos val="l"/>
        <c:numFmt formatCode="0%" sourceLinked="1"/>
        <c:majorTickMark val="out"/>
        <c:minorTickMark val="none"/>
        <c:tickLblPos val="nextTo"/>
        <c:crossAx val="114001408"/>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2.1113243761996161E-2"/>
          <c:y val="0"/>
          <c:w val="0.96161228406909793"/>
          <c:h val="0.81750966446821405"/>
        </c:manualLayout>
      </c:layout>
      <c:barChart>
        <c:barDir val="col"/>
        <c:grouping val="clustered"/>
        <c:varyColors val="0"/>
        <c:ser>
          <c:idx val="0"/>
          <c:order val="0"/>
          <c:tx>
            <c:strRef>
              <c:f>Sheet1!$A$2</c:f>
              <c:strCache>
                <c:ptCount val="1"/>
              </c:strCache>
            </c:strRef>
          </c:tx>
          <c:invertIfNegative val="0"/>
          <c:dLbls>
            <c:dLbl>
              <c:idx val="3"/>
              <c:layout>
                <c:manualLayout>
                  <c:x val="1.574183392365210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Sheet1!$B$1:$L$1</c:f>
              <c:strCache>
                <c:ptCount val="11"/>
                <c:pt idx="0">
                  <c:v>IAA</c:v>
                </c:pt>
                <c:pt idx="1">
                  <c:v>PHAR</c:v>
                </c:pt>
                <c:pt idx="2">
                  <c:v>AUTO</c:v>
                </c:pt>
                <c:pt idx="3">
                  <c:v>IEM</c:v>
                </c:pt>
                <c:pt idx="4">
                  <c:v>CHIM</c:v>
                </c:pt>
                <c:pt idx="5">
                  <c:v>COM</c:v>
                </c:pt>
                <c:pt idx="6">
                  <c:v>Total</c:v>
                </c:pt>
                <c:pt idx="10">
                  <c:v>COM</c:v>
                </c:pt>
              </c:strCache>
            </c:strRef>
          </c:cat>
          <c:val>
            <c:numRef>
              <c:f>Sheet1!$B$2:$L$2</c:f>
              <c:numCache>
                <c:formatCode>0%</c:formatCode>
                <c:ptCount val="11"/>
                <c:pt idx="0">
                  <c:v>0.86757334512752471</c:v>
                </c:pt>
                <c:pt idx="1">
                  <c:v>0.7400356683671353</c:v>
                </c:pt>
                <c:pt idx="2">
                  <c:v>0.81323047251687564</c:v>
                </c:pt>
                <c:pt idx="3">
                  <c:v>0.9690299660179178</c:v>
                </c:pt>
                <c:pt idx="4">
                  <c:v>0.84540703937255657</c:v>
                </c:pt>
                <c:pt idx="5">
                  <c:v>0.87218449586407343</c:v>
                </c:pt>
                <c:pt idx="6">
                  <c:v>0.87873829511302526</c:v>
                </c:pt>
                <c:pt idx="10">
                  <c:v>0.82051282051282037</c:v>
                </c:pt>
              </c:numCache>
            </c:numRef>
          </c:val>
        </c:ser>
        <c:dLbls>
          <c:showLegendKey val="0"/>
          <c:showVal val="1"/>
          <c:showCatName val="0"/>
          <c:showSerName val="0"/>
          <c:showPercent val="0"/>
          <c:showBubbleSize val="0"/>
        </c:dLbls>
        <c:gapWidth val="90"/>
        <c:axId val="114023808"/>
        <c:axId val="118991104"/>
      </c:barChart>
      <c:catAx>
        <c:axId val="114023808"/>
        <c:scaling>
          <c:orientation val="minMax"/>
        </c:scaling>
        <c:delete val="0"/>
        <c:axPos val="b"/>
        <c:numFmt formatCode="General" sourceLinked="1"/>
        <c:majorTickMark val="out"/>
        <c:minorTickMark val="none"/>
        <c:tickLblPos val="nextTo"/>
        <c:spPr>
          <a:ln>
            <a:noFill/>
          </a:ln>
        </c:spPr>
        <c:txPr>
          <a:bodyPr rot="0" vert="horz"/>
          <a:lstStyle/>
          <a:p>
            <a:pPr>
              <a:defRPr/>
            </a:pPr>
            <a:endParaRPr lang="fr-FR"/>
          </a:p>
        </c:txPr>
        <c:crossAx val="118991104"/>
        <c:crosses val="autoZero"/>
        <c:auto val="1"/>
        <c:lblAlgn val="ctr"/>
        <c:lblOffset val="100"/>
        <c:tickLblSkip val="1"/>
        <c:tickMarkSkip val="1"/>
        <c:noMultiLvlLbl val="0"/>
      </c:catAx>
      <c:valAx>
        <c:axId val="118991104"/>
        <c:scaling>
          <c:orientation val="minMax"/>
        </c:scaling>
        <c:delete val="1"/>
        <c:axPos val="l"/>
        <c:numFmt formatCode="0%" sourceLinked="1"/>
        <c:majorTickMark val="out"/>
        <c:minorTickMark val="none"/>
        <c:tickLblPos val="nextTo"/>
        <c:crossAx val="114023808"/>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921519425456433"/>
          <c:y val="2.9943766071911047E-2"/>
          <c:w val="0.857667238381293"/>
          <c:h val="0.86281274840644917"/>
        </c:manualLayout>
      </c:layout>
      <c:barChart>
        <c:barDir val="bar"/>
        <c:grouping val="clustered"/>
        <c:varyColors val="0"/>
        <c:ser>
          <c:idx val="0"/>
          <c:order val="0"/>
          <c:tx>
            <c:strRef>
              <c:f>Feuil1!$B$1</c:f>
              <c:strCache>
                <c:ptCount val="1"/>
                <c:pt idx="0">
                  <c:v>2014</c:v>
                </c:pt>
              </c:strCache>
            </c:strRef>
          </c:tx>
          <c:invertIfNegative val="0"/>
          <c:dLbls>
            <c:showLegendKey val="0"/>
            <c:showVal val="1"/>
            <c:showCatName val="0"/>
            <c:showSerName val="0"/>
            <c:showPercent val="0"/>
            <c:showBubbleSize val="0"/>
            <c:showLeaderLines val="0"/>
          </c:dLbls>
          <c:cat>
            <c:strRef>
              <c:f>Feuil1!$A$2:$A$8</c:f>
              <c:strCache>
                <c:ptCount val="7"/>
                <c:pt idx="0">
                  <c:v>IAA</c:v>
                </c:pt>
                <c:pt idx="1">
                  <c:v>PHAR</c:v>
                </c:pt>
                <c:pt idx="2">
                  <c:v>AUTO</c:v>
                </c:pt>
                <c:pt idx="3">
                  <c:v>IEM</c:v>
                </c:pt>
                <c:pt idx="4">
                  <c:v>CHIM</c:v>
                </c:pt>
                <c:pt idx="5">
                  <c:v>COM</c:v>
                </c:pt>
                <c:pt idx="6">
                  <c:v>TRP</c:v>
                </c:pt>
              </c:strCache>
            </c:strRef>
          </c:cat>
          <c:val>
            <c:numRef>
              <c:f>Feuil1!$B$2:$B$8</c:f>
              <c:numCache>
                <c:formatCode>0%</c:formatCode>
                <c:ptCount val="7"/>
                <c:pt idx="0">
                  <c:v>0.54570450189645237</c:v>
                </c:pt>
                <c:pt idx="1">
                  <c:v>0.54363153747252291</c:v>
                </c:pt>
                <c:pt idx="2">
                  <c:v>0.46457087753134035</c:v>
                </c:pt>
                <c:pt idx="3">
                  <c:v>0.40485016991041117</c:v>
                </c:pt>
                <c:pt idx="4">
                  <c:v>0.38918563379770282</c:v>
                </c:pt>
                <c:pt idx="5">
                  <c:v>0.50027324440469978</c:v>
                </c:pt>
                <c:pt idx="6">
                  <c:v>0.52164905450500554</c:v>
                </c:pt>
              </c:numCache>
            </c:numRef>
          </c:val>
        </c:ser>
        <c:ser>
          <c:idx val="1"/>
          <c:order val="1"/>
          <c:tx>
            <c:strRef>
              <c:f>Feuil1!$C$1</c:f>
              <c:strCache>
                <c:ptCount val="1"/>
                <c:pt idx="0">
                  <c:v>2013</c:v>
                </c:pt>
              </c:strCache>
            </c:strRef>
          </c:tx>
          <c:invertIfNegative val="0"/>
          <c:dLbls>
            <c:showLegendKey val="0"/>
            <c:showVal val="1"/>
            <c:showCatName val="0"/>
            <c:showSerName val="0"/>
            <c:showPercent val="0"/>
            <c:showBubbleSize val="0"/>
            <c:showLeaderLines val="0"/>
          </c:dLbls>
          <c:cat>
            <c:strRef>
              <c:f>Feuil1!$A$2:$A$8</c:f>
              <c:strCache>
                <c:ptCount val="7"/>
                <c:pt idx="0">
                  <c:v>IAA</c:v>
                </c:pt>
                <c:pt idx="1">
                  <c:v>PHAR</c:v>
                </c:pt>
                <c:pt idx="2">
                  <c:v>AUTO</c:v>
                </c:pt>
                <c:pt idx="3">
                  <c:v>IEM</c:v>
                </c:pt>
                <c:pt idx="4">
                  <c:v>CHIM</c:v>
                </c:pt>
                <c:pt idx="5">
                  <c:v>COM</c:v>
                </c:pt>
                <c:pt idx="6">
                  <c:v>TRP</c:v>
                </c:pt>
              </c:strCache>
            </c:strRef>
          </c:cat>
          <c:val>
            <c:numRef>
              <c:f>Feuil1!$C$2:$C$8</c:f>
              <c:numCache>
                <c:formatCode>0%</c:formatCode>
                <c:ptCount val="7"/>
                <c:pt idx="0">
                  <c:v>0.36</c:v>
                </c:pt>
                <c:pt idx="1">
                  <c:v>0.39</c:v>
                </c:pt>
                <c:pt idx="2">
                  <c:v>0.4</c:v>
                </c:pt>
                <c:pt idx="3">
                  <c:v>0.45</c:v>
                </c:pt>
                <c:pt idx="4">
                  <c:v>0.39</c:v>
                </c:pt>
                <c:pt idx="5">
                  <c:v>0.41</c:v>
                </c:pt>
                <c:pt idx="6">
                  <c:v>0.48</c:v>
                </c:pt>
              </c:numCache>
            </c:numRef>
          </c:val>
        </c:ser>
        <c:ser>
          <c:idx val="2"/>
          <c:order val="2"/>
          <c:tx>
            <c:strRef>
              <c:f>Feuil1!$D$1</c:f>
              <c:strCache>
                <c:ptCount val="1"/>
                <c:pt idx="0">
                  <c:v>2012</c:v>
                </c:pt>
              </c:strCache>
            </c:strRef>
          </c:tx>
          <c:invertIfNegative val="0"/>
          <c:dLbls>
            <c:showLegendKey val="0"/>
            <c:showVal val="1"/>
            <c:showCatName val="0"/>
            <c:showSerName val="0"/>
            <c:showPercent val="0"/>
            <c:showBubbleSize val="0"/>
            <c:showLeaderLines val="0"/>
          </c:dLbls>
          <c:cat>
            <c:strRef>
              <c:f>Feuil1!$A$2:$A$8</c:f>
              <c:strCache>
                <c:ptCount val="7"/>
                <c:pt idx="0">
                  <c:v>IAA</c:v>
                </c:pt>
                <c:pt idx="1">
                  <c:v>PHAR</c:v>
                </c:pt>
                <c:pt idx="2">
                  <c:v>AUTO</c:v>
                </c:pt>
                <c:pt idx="3">
                  <c:v>IEM</c:v>
                </c:pt>
                <c:pt idx="4">
                  <c:v>CHIM</c:v>
                </c:pt>
                <c:pt idx="5">
                  <c:v>COM</c:v>
                </c:pt>
                <c:pt idx="6">
                  <c:v>TRP</c:v>
                </c:pt>
              </c:strCache>
            </c:strRef>
          </c:cat>
          <c:val>
            <c:numRef>
              <c:f>Feuil1!$D$2:$D$8</c:f>
              <c:numCache>
                <c:formatCode>0%</c:formatCode>
                <c:ptCount val="7"/>
                <c:pt idx="0">
                  <c:v>0.36</c:v>
                </c:pt>
                <c:pt idx="1">
                  <c:v>0.42</c:v>
                </c:pt>
                <c:pt idx="2">
                  <c:v>0.39</c:v>
                </c:pt>
                <c:pt idx="3">
                  <c:v>0.39</c:v>
                </c:pt>
                <c:pt idx="4">
                  <c:v>0.28999999999999998</c:v>
                </c:pt>
                <c:pt idx="5">
                  <c:v>0.53</c:v>
                </c:pt>
                <c:pt idx="6">
                  <c:v>0.5</c:v>
                </c:pt>
              </c:numCache>
            </c:numRef>
          </c:val>
        </c:ser>
        <c:dLbls>
          <c:showLegendKey val="0"/>
          <c:showVal val="0"/>
          <c:showCatName val="0"/>
          <c:showSerName val="0"/>
          <c:showPercent val="0"/>
          <c:showBubbleSize val="0"/>
        </c:dLbls>
        <c:gapWidth val="35"/>
        <c:axId val="119363840"/>
        <c:axId val="119390208"/>
      </c:barChart>
      <c:catAx>
        <c:axId val="119363840"/>
        <c:scaling>
          <c:orientation val="minMax"/>
        </c:scaling>
        <c:delete val="0"/>
        <c:axPos val="l"/>
        <c:numFmt formatCode="General" sourceLinked="1"/>
        <c:majorTickMark val="out"/>
        <c:minorTickMark val="none"/>
        <c:tickLblPos val="nextTo"/>
        <c:crossAx val="119390208"/>
        <c:crosses val="autoZero"/>
        <c:auto val="1"/>
        <c:lblAlgn val="ctr"/>
        <c:lblOffset val="100"/>
        <c:noMultiLvlLbl val="0"/>
      </c:catAx>
      <c:valAx>
        <c:axId val="119390208"/>
        <c:scaling>
          <c:orientation val="minMax"/>
        </c:scaling>
        <c:delete val="1"/>
        <c:axPos val="b"/>
        <c:numFmt formatCode="0%" sourceLinked="1"/>
        <c:majorTickMark val="out"/>
        <c:minorTickMark val="none"/>
        <c:tickLblPos val="nextTo"/>
        <c:crossAx val="119363840"/>
        <c:crosses val="autoZero"/>
        <c:crossBetween val="between"/>
      </c:valAx>
    </c:plotArea>
    <c:legend>
      <c:legendPos val="r"/>
      <c:layout>
        <c:manualLayout>
          <c:xMode val="edge"/>
          <c:yMode val="edge"/>
          <c:x val="0.88251327036258964"/>
          <c:y val="0.2709021372328459"/>
          <c:w val="0.10119345061500713"/>
          <c:h val="0.34391001124859394"/>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921519425456433"/>
          <c:y val="2.9943766071911047E-2"/>
          <c:w val="0.857667238381293"/>
          <c:h val="0.25032939258661041"/>
        </c:manualLayout>
      </c:layout>
      <c:barChart>
        <c:barDir val="bar"/>
        <c:grouping val="clustered"/>
        <c:varyColors val="0"/>
        <c:ser>
          <c:idx val="0"/>
          <c:order val="0"/>
          <c:tx>
            <c:strRef>
              <c:f>Feuil1!$B$1</c:f>
              <c:strCache>
                <c:ptCount val="1"/>
                <c:pt idx="0">
                  <c:v>2014</c:v>
                </c:pt>
              </c:strCache>
            </c:strRef>
          </c:tx>
          <c:invertIfNegative val="0"/>
          <c:dLbls>
            <c:showLegendKey val="0"/>
            <c:showVal val="1"/>
            <c:showCatName val="0"/>
            <c:showSerName val="0"/>
            <c:showPercent val="0"/>
            <c:showBubbleSize val="0"/>
            <c:showLeaderLines val="0"/>
          </c:dLbls>
          <c:cat>
            <c:strRef>
              <c:f>Feuil1!$A$2:$A$3</c:f>
              <c:strCache>
                <c:ptCount val="2"/>
                <c:pt idx="0">
                  <c:v>COM</c:v>
                </c:pt>
                <c:pt idx="1">
                  <c:v>TRP</c:v>
                </c:pt>
              </c:strCache>
            </c:strRef>
          </c:cat>
          <c:val>
            <c:numRef>
              <c:f>Feuil1!$B$2:$B$3</c:f>
              <c:numCache>
                <c:formatCode>0%</c:formatCode>
                <c:ptCount val="2"/>
                <c:pt idx="0">
                  <c:v>0.48717948717948717</c:v>
                </c:pt>
                <c:pt idx="1">
                  <c:v>0.39096209912536439</c:v>
                </c:pt>
              </c:numCache>
            </c:numRef>
          </c:val>
        </c:ser>
        <c:ser>
          <c:idx val="1"/>
          <c:order val="1"/>
          <c:tx>
            <c:strRef>
              <c:f>Feuil1!$C$1</c:f>
              <c:strCache>
                <c:ptCount val="1"/>
                <c:pt idx="0">
                  <c:v>2013</c:v>
                </c:pt>
              </c:strCache>
            </c:strRef>
          </c:tx>
          <c:invertIfNegative val="0"/>
          <c:dLbls>
            <c:showLegendKey val="0"/>
            <c:showVal val="1"/>
            <c:showCatName val="0"/>
            <c:showSerName val="0"/>
            <c:showPercent val="0"/>
            <c:showBubbleSize val="0"/>
            <c:showLeaderLines val="0"/>
          </c:dLbls>
          <c:cat>
            <c:strRef>
              <c:f>Feuil1!$A$2:$A$3</c:f>
              <c:strCache>
                <c:ptCount val="2"/>
                <c:pt idx="0">
                  <c:v>COM</c:v>
                </c:pt>
                <c:pt idx="1">
                  <c:v>TRP</c:v>
                </c:pt>
              </c:strCache>
            </c:strRef>
          </c:cat>
          <c:val>
            <c:numRef>
              <c:f>Feuil1!$C$2:$C$3</c:f>
              <c:numCache>
                <c:formatCode>0%</c:formatCode>
                <c:ptCount val="2"/>
                <c:pt idx="0">
                  <c:v>0.45</c:v>
                </c:pt>
                <c:pt idx="1">
                  <c:v>0.52</c:v>
                </c:pt>
              </c:numCache>
            </c:numRef>
          </c:val>
        </c:ser>
        <c:ser>
          <c:idx val="2"/>
          <c:order val="2"/>
          <c:tx>
            <c:strRef>
              <c:f>Feuil1!$D$1</c:f>
              <c:strCache>
                <c:ptCount val="1"/>
                <c:pt idx="0">
                  <c:v>2012</c:v>
                </c:pt>
              </c:strCache>
            </c:strRef>
          </c:tx>
          <c:invertIfNegative val="0"/>
          <c:dLbls>
            <c:showLegendKey val="0"/>
            <c:showVal val="1"/>
            <c:showCatName val="0"/>
            <c:showSerName val="0"/>
            <c:showPercent val="0"/>
            <c:showBubbleSize val="0"/>
            <c:showLeaderLines val="0"/>
          </c:dLbls>
          <c:cat>
            <c:strRef>
              <c:f>Feuil1!$A$2:$A$3</c:f>
              <c:strCache>
                <c:ptCount val="2"/>
                <c:pt idx="0">
                  <c:v>COM</c:v>
                </c:pt>
                <c:pt idx="1">
                  <c:v>TRP</c:v>
                </c:pt>
              </c:strCache>
            </c:strRef>
          </c:cat>
          <c:val>
            <c:numRef>
              <c:f>Feuil1!$D$2:$D$3</c:f>
              <c:numCache>
                <c:formatCode>0%</c:formatCode>
                <c:ptCount val="2"/>
                <c:pt idx="0">
                  <c:v>0.53</c:v>
                </c:pt>
                <c:pt idx="1">
                  <c:v>0.32</c:v>
                </c:pt>
              </c:numCache>
            </c:numRef>
          </c:val>
        </c:ser>
        <c:dLbls>
          <c:showLegendKey val="0"/>
          <c:showVal val="0"/>
          <c:showCatName val="0"/>
          <c:showSerName val="0"/>
          <c:showPercent val="0"/>
          <c:showBubbleSize val="0"/>
        </c:dLbls>
        <c:gapWidth val="35"/>
        <c:axId val="119441664"/>
        <c:axId val="119459840"/>
      </c:barChart>
      <c:catAx>
        <c:axId val="119441664"/>
        <c:scaling>
          <c:orientation val="minMax"/>
        </c:scaling>
        <c:delete val="0"/>
        <c:axPos val="l"/>
        <c:numFmt formatCode="General" sourceLinked="1"/>
        <c:majorTickMark val="out"/>
        <c:minorTickMark val="none"/>
        <c:tickLblPos val="nextTo"/>
        <c:crossAx val="119459840"/>
        <c:crosses val="autoZero"/>
        <c:auto val="1"/>
        <c:lblAlgn val="ctr"/>
        <c:lblOffset val="100"/>
        <c:noMultiLvlLbl val="0"/>
      </c:catAx>
      <c:valAx>
        <c:axId val="119459840"/>
        <c:scaling>
          <c:orientation val="minMax"/>
        </c:scaling>
        <c:delete val="1"/>
        <c:axPos val="b"/>
        <c:numFmt formatCode="0%" sourceLinked="1"/>
        <c:majorTickMark val="out"/>
        <c:minorTickMark val="none"/>
        <c:tickLblPos val="nextTo"/>
        <c:crossAx val="119441664"/>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Feuil1!$A$1:$G$1</c:f>
              <c:strCache>
                <c:ptCount val="7"/>
                <c:pt idx="0">
                  <c:v>2008</c:v>
                </c:pt>
                <c:pt idx="1">
                  <c:v>2009</c:v>
                </c:pt>
                <c:pt idx="2">
                  <c:v>2010</c:v>
                </c:pt>
                <c:pt idx="3">
                  <c:v>2011</c:v>
                </c:pt>
                <c:pt idx="4">
                  <c:v>2012</c:v>
                </c:pt>
                <c:pt idx="5">
                  <c:v>2013</c:v>
                </c:pt>
                <c:pt idx="6">
                  <c:v>2014</c:v>
                </c:pt>
              </c:strCache>
            </c:strRef>
          </c:cat>
          <c:val>
            <c:numRef>
              <c:f>Feuil1!$A$2:$G$2</c:f>
              <c:numCache>
                <c:formatCode>0%</c:formatCode>
                <c:ptCount val="7"/>
                <c:pt idx="0">
                  <c:v>0.31</c:v>
                </c:pt>
                <c:pt idx="1">
                  <c:v>0.12</c:v>
                </c:pt>
                <c:pt idx="2">
                  <c:v>0.33</c:v>
                </c:pt>
                <c:pt idx="3">
                  <c:v>0.39</c:v>
                </c:pt>
                <c:pt idx="4">
                  <c:v>0.35</c:v>
                </c:pt>
                <c:pt idx="5">
                  <c:v>0.32</c:v>
                </c:pt>
                <c:pt idx="6">
                  <c:v>0.34</c:v>
                </c:pt>
              </c:numCache>
            </c:numRef>
          </c:val>
        </c:ser>
        <c:dLbls>
          <c:showLegendKey val="0"/>
          <c:showVal val="0"/>
          <c:showCatName val="0"/>
          <c:showSerName val="0"/>
          <c:showPercent val="0"/>
          <c:showBubbleSize val="0"/>
        </c:dLbls>
        <c:gapWidth val="80"/>
        <c:axId val="119496704"/>
        <c:axId val="119498240"/>
      </c:barChart>
      <c:catAx>
        <c:axId val="119496704"/>
        <c:scaling>
          <c:orientation val="minMax"/>
        </c:scaling>
        <c:delete val="0"/>
        <c:axPos val="b"/>
        <c:numFmt formatCode="General" sourceLinked="1"/>
        <c:majorTickMark val="out"/>
        <c:minorTickMark val="none"/>
        <c:tickLblPos val="nextTo"/>
        <c:crossAx val="119498240"/>
        <c:crosses val="autoZero"/>
        <c:auto val="1"/>
        <c:lblAlgn val="ctr"/>
        <c:lblOffset val="100"/>
        <c:noMultiLvlLbl val="0"/>
      </c:catAx>
      <c:valAx>
        <c:axId val="119498240"/>
        <c:scaling>
          <c:orientation val="minMax"/>
        </c:scaling>
        <c:delete val="1"/>
        <c:axPos val="l"/>
        <c:numFmt formatCode="0%" sourceLinked="1"/>
        <c:majorTickMark val="out"/>
        <c:minorTickMark val="none"/>
        <c:tickLblPos val="nextTo"/>
        <c:crossAx val="119496704"/>
        <c:crosses val="autoZero"/>
        <c:crossBetween val="between"/>
      </c:valAx>
      <c:spPr>
        <a:noFill/>
        <a:ln w="25400">
          <a:noFill/>
        </a:ln>
      </c:spPr>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114714258074284"/>
          <c:y val="4.2918454935622317E-3"/>
          <c:w val="0.89885283202581079"/>
          <c:h val="1"/>
        </c:manualLayout>
      </c:layout>
      <c:barChart>
        <c:barDir val="bar"/>
        <c:grouping val="percentStacked"/>
        <c:varyColors val="0"/>
        <c:ser>
          <c:idx val="0"/>
          <c:order val="0"/>
          <c:tx>
            <c:strRef>
              <c:f>Sheet1!$A$2</c:f>
              <c:strCache>
                <c:ptCount val="1"/>
                <c:pt idx="0">
                  <c:v>Hausse</c:v>
                </c:pt>
              </c:strCache>
            </c:strRef>
          </c:tx>
          <c:spPr>
            <a:solidFill>
              <a:schemeClr val="accent5">
                <a:lumMod val="60000"/>
                <a:lumOff val="40000"/>
              </a:schemeClr>
            </a:solidFill>
          </c:spPr>
          <c:invertIfNegative val="0"/>
          <c:cat>
            <c:strRef>
              <c:f>Sheet1!$B$1:$H$1</c:f>
              <c:strCache>
                <c:ptCount val="7"/>
                <c:pt idx="0">
                  <c:v>IAA</c:v>
                </c:pt>
                <c:pt idx="1">
                  <c:v>PHAR</c:v>
                </c:pt>
                <c:pt idx="2">
                  <c:v>AUTO</c:v>
                </c:pt>
                <c:pt idx="3">
                  <c:v>IEM</c:v>
                </c:pt>
                <c:pt idx="4">
                  <c:v>CHIM</c:v>
                </c:pt>
                <c:pt idx="5">
                  <c:v>COM</c:v>
                </c:pt>
                <c:pt idx="6">
                  <c:v>Total</c:v>
                </c:pt>
              </c:strCache>
            </c:strRef>
          </c:cat>
          <c:val>
            <c:numRef>
              <c:f>Sheet1!$B$2:$H$2</c:f>
              <c:numCache>
                <c:formatCode>0%</c:formatCode>
                <c:ptCount val="7"/>
                <c:pt idx="0">
                  <c:v>0.48394917775722751</c:v>
                </c:pt>
                <c:pt idx="1">
                  <c:v>0.41460329310273314</c:v>
                </c:pt>
                <c:pt idx="2">
                  <c:v>0.32686595949855346</c:v>
                </c:pt>
                <c:pt idx="3">
                  <c:v>0.32584182885387708</c:v>
                </c:pt>
                <c:pt idx="4">
                  <c:v>0.4661640200433303</c:v>
                </c:pt>
                <c:pt idx="5">
                  <c:v>0.33722551357527891</c:v>
                </c:pt>
                <c:pt idx="6">
                  <c:v>0.39004739137777572</c:v>
                </c:pt>
              </c:numCache>
            </c:numRef>
          </c:val>
        </c:ser>
        <c:ser>
          <c:idx val="1"/>
          <c:order val="1"/>
          <c:tx>
            <c:strRef>
              <c:f>Sheet1!$A$3</c:f>
              <c:strCache>
                <c:ptCount val="1"/>
                <c:pt idx="0">
                  <c:v>Stabilité</c:v>
                </c:pt>
              </c:strCache>
            </c:strRef>
          </c:tx>
          <c:spPr>
            <a:solidFill>
              <a:schemeClr val="accent2">
                <a:lumMod val="60000"/>
                <a:lumOff val="40000"/>
              </a:schemeClr>
            </a:solidFill>
          </c:spPr>
          <c:invertIfNegative val="0"/>
          <c:cat>
            <c:strRef>
              <c:f>Sheet1!$B$1:$H$1</c:f>
              <c:strCache>
                <c:ptCount val="7"/>
                <c:pt idx="0">
                  <c:v>IAA</c:v>
                </c:pt>
                <c:pt idx="1">
                  <c:v>PHAR</c:v>
                </c:pt>
                <c:pt idx="2">
                  <c:v>AUTO</c:v>
                </c:pt>
                <c:pt idx="3">
                  <c:v>IEM</c:v>
                </c:pt>
                <c:pt idx="4">
                  <c:v>CHIM</c:v>
                </c:pt>
                <c:pt idx="5">
                  <c:v>COM</c:v>
                </c:pt>
                <c:pt idx="6">
                  <c:v>Total</c:v>
                </c:pt>
              </c:strCache>
            </c:strRef>
          </c:cat>
          <c:val>
            <c:numRef>
              <c:f>Sheet1!$B$3:$H$3</c:f>
              <c:numCache>
                <c:formatCode>0%</c:formatCode>
                <c:ptCount val="7"/>
                <c:pt idx="0">
                  <c:v>0.3651783201318804</c:v>
                </c:pt>
                <c:pt idx="1">
                  <c:v>0.32543237526440216</c:v>
                </c:pt>
                <c:pt idx="2">
                  <c:v>0.44123432979749277</c:v>
                </c:pt>
                <c:pt idx="3">
                  <c:v>0.41952425084955214</c:v>
                </c:pt>
                <c:pt idx="4">
                  <c:v>0.42008009464906004</c:v>
                </c:pt>
                <c:pt idx="5">
                  <c:v>0.37989821645924932</c:v>
                </c:pt>
                <c:pt idx="6">
                  <c:v>0.39301061124193171</c:v>
                </c:pt>
              </c:numCache>
            </c:numRef>
          </c:val>
        </c:ser>
        <c:ser>
          <c:idx val="2"/>
          <c:order val="2"/>
          <c:tx>
            <c:strRef>
              <c:f>Sheet1!$A$4</c:f>
              <c:strCache>
                <c:ptCount val="1"/>
                <c:pt idx="0">
                  <c:v>Baisse</c:v>
                </c:pt>
              </c:strCache>
            </c:strRef>
          </c:tx>
          <c:spPr>
            <a:solidFill>
              <a:schemeClr val="accent3">
                <a:lumMod val="60000"/>
                <a:lumOff val="40000"/>
              </a:schemeClr>
            </a:solidFill>
          </c:spPr>
          <c:invertIfNegative val="0"/>
          <c:dLbls>
            <c:dLbl>
              <c:idx val="4"/>
              <c:layout>
                <c:manualLayout>
                  <c:x val="-1.6057275480537102E-2"/>
                  <c:y val="-7.1972081358307478E-3"/>
                </c:manualLayout>
              </c:layout>
              <c:dLblPos val="ctr"/>
              <c:showLegendKey val="0"/>
              <c:showVal val="1"/>
              <c:showCatName val="0"/>
              <c:showSerName val="0"/>
              <c:showPercent val="0"/>
              <c:showBubbleSize val="0"/>
            </c:dLbl>
            <c:showLegendKey val="0"/>
            <c:showVal val="1"/>
            <c:showCatName val="0"/>
            <c:showSerName val="0"/>
            <c:showPercent val="0"/>
            <c:showBubbleSize val="0"/>
            <c:showLeaderLines val="0"/>
          </c:dLbls>
          <c:cat>
            <c:strRef>
              <c:f>Sheet1!$B$1:$H$1</c:f>
              <c:strCache>
                <c:ptCount val="7"/>
                <c:pt idx="0">
                  <c:v>IAA</c:v>
                </c:pt>
                <c:pt idx="1">
                  <c:v>PHAR</c:v>
                </c:pt>
                <c:pt idx="2">
                  <c:v>AUTO</c:v>
                </c:pt>
                <c:pt idx="3">
                  <c:v>IEM</c:v>
                </c:pt>
                <c:pt idx="4">
                  <c:v>CHIM</c:v>
                </c:pt>
                <c:pt idx="5">
                  <c:v>COM</c:v>
                </c:pt>
                <c:pt idx="6">
                  <c:v>Total</c:v>
                </c:pt>
              </c:strCache>
            </c:strRef>
          </c:cat>
          <c:val>
            <c:numRef>
              <c:f>Sheet1!$B$4:$H$4</c:f>
              <c:numCache>
                <c:formatCode>0%</c:formatCode>
                <c:ptCount val="7"/>
                <c:pt idx="0">
                  <c:v>2.0123839009287919E-2</c:v>
                </c:pt>
                <c:pt idx="1">
                  <c:v>0.15463896146986852</c:v>
                </c:pt>
                <c:pt idx="2">
                  <c:v>0.20933461909353901</c:v>
                </c:pt>
                <c:pt idx="3">
                  <c:v>0.18721037998146417</c:v>
                </c:pt>
                <c:pt idx="4">
                  <c:v>8.6921000714104177E-2</c:v>
                </c:pt>
                <c:pt idx="5">
                  <c:v>0.15009423826912091</c:v>
                </c:pt>
                <c:pt idx="6">
                  <c:v>0.12566008947046667</c:v>
                </c:pt>
              </c:numCache>
            </c:numRef>
          </c:val>
        </c:ser>
        <c:ser>
          <c:idx val="3"/>
          <c:order val="3"/>
          <c:tx>
            <c:strRef>
              <c:f>Sheet1!$A$5</c:f>
              <c:strCache>
                <c:ptCount val="1"/>
                <c:pt idx="0">
                  <c:v>Ne se prononce pas</c:v>
                </c:pt>
              </c:strCache>
            </c:strRef>
          </c:tx>
          <c:spPr>
            <a:solidFill>
              <a:schemeClr val="accent4">
                <a:lumMod val="60000"/>
                <a:lumOff val="40000"/>
              </a:schemeClr>
            </a:solidFill>
          </c:spPr>
          <c:invertIfNegative val="0"/>
          <c:cat>
            <c:strRef>
              <c:f>Sheet1!$B$1:$H$1</c:f>
              <c:strCache>
                <c:ptCount val="7"/>
                <c:pt idx="0">
                  <c:v>IAA</c:v>
                </c:pt>
                <c:pt idx="1">
                  <c:v>PHAR</c:v>
                </c:pt>
                <c:pt idx="2">
                  <c:v>AUTO</c:v>
                </c:pt>
                <c:pt idx="3">
                  <c:v>IEM</c:v>
                </c:pt>
                <c:pt idx="4">
                  <c:v>CHIM</c:v>
                </c:pt>
                <c:pt idx="5">
                  <c:v>COM</c:v>
                </c:pt>
                <c:pt idx="6">
                  <c:v>Total</c:v>
                </c:pt>
              </c:strCache>
            </c:strRef>
          </c:cat>
          <c:val>
            <c:numRef>
              <c:f>Sheet1!$B$5:$H$5</c:f>
              <c:numCache>
                <c:formatCode>0%</c:formatCode>
                <c:ptCount val="7"/>
                <c:pt idx="0">
                  <c:v>0.13074866310160421</c:v>
                </c:pt>
                <c:pt idx="1">
                  <c:v>0.10532537016299615</c:v>
                </c:pt>
                <c:pt idx="2">
                  <c:v>2.2565091610414659E-2</c:v>
                </c:pt>
                <c:pt idx="3">
                  <c:v>5.6997219647821999E-2</c:v>
                </c:pt>
                <c:pt idx="4">
                  <c:v>2.6834884593505283E-2</c:v>
                </c:pt>
                <c:pt idx="5">
                  <c:v>0.10809067367165999</c:v>
                </c:pt>
                <c:pt idx="6">
                  <c:v>8.2582580686402396E-2</c:v>
                </c:pt>
              </c:numCache>
            </c:numRef>
          </c:val>
        </c:ser>
        <c:dLbls>
          <c:showLegendKey val="0"/>
          <c:showVal val="1"/>
          <c:showCatName val="0"/>
          <c:showSerName val="0"/>
          <c:showPercent val="0"/>
          <c:showBubbleSize val="0"/>
        </c:dLbls>
        <c:gapWidth val="40"/>
        <c:overlap val="100"/>
        <c:axId val="84615552"/>
        <c:axId val="84617088"/>
      </c:barChart>
      <c:catAx>
        <c:axId val="84615552"/>
        <c:scaling>
          <c:orientation val="minMax"/>
        </c:scaling>
        <c:delete val="0"/>
        <c:axPos val="l"/>
        <c:numFmt formatCode="General" sourceLinked="1"/>
        <c:majorTickMark val="out"/>
        <c:minorTickMark val="none"/>
        <c:tickLblPos val="nextTo"/>
        <c:txPr>
          <a:bodyPr rot="0" vert="horz"/>
          <a:lstStyle/>
          <a:p>
            <a:pPr>
              <a:defRPr/>
            </a:pPr>
            <a:endParaRPr lang="fr-FR"/>
          </a:p>
        </c:txPr>
        <c:crossAx val="84617088"/>
        <c:crosses val="autoZero"/>
        <c:auto val="1"/>
        <c:lblAlgn val="ctr"/>
        <c:lblOffset val="100"/>
        <c:tickLblSkip val="1"/>
        <c:tickMarkSkip val="1"/>
        <c:noMultiLvlLbl val="0"/>
      </c:catAx>
      <c:valAx>
        <c:axId val="84617088"/>
        <c:scaling>
          <c:orientation val="minMax"/>
        </c:scaling>
        <c:delete val="1"/>
        <c:axPos val="b"/>
        <c:numFmt formatCode="0%" sourceLinked="1"/>
        <c:majorTickMark val="out"/>
        <c:minorTickMark val="none"/>
        <c:tickLblPos val="nextTo"/>
        <c:crossAx val="8461555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Feuil1!$A$1:$G$1</c:f>
              <c:strCache>
                <c:ptCount val="7"/>
                <c:pt idx="0">
                  <c:v>2008</c:v>
                </c:pt>
                <c:pt idx="1">
                  <c:v>2009</c:v>
                </c:pt>
                <c:pt idx="2">
                  <c:v>2010</c:v>
                </c:pt>
                <c:pt idx="3">
                  <c:v>2011</c:v>
                </c:pt>
                <c:pt idx="4">
                  <c:v>2012</c:v>
                </c:pt>
                <c:pt idx="5">
                  <c:v>2013</c:v>
                </c:pt>
                <c:pt idx="6">
                  <c:v>2014</c:v>
                </c:pt>
              </c:strCache>
            </c:strRef>
          </c:cat>
          <c:val>
            <c:numRef>
              <c:f>Feuil1!$A$2:$G$2</c:f>
              <c:numCache>
                <c:formatCode>0%</c:formatCode>
                <c:ptCount val="7"/>
                <c:pt idx="0">
                  <c:v>0.38</c:v>
                </c:pt>
                <c:pt idx="1">
                  <c:v>0.09</c:v>
                </c:pt>
                <c:pt idx="2">
                  <c:v>0.22</c:v>
                </c:pt>
                <c:pt idx="3">
                  <c:v>0.32</c:v>
                </c:pt>
                <c:pt idx="4">
                  <c:v>0.4</c:v>
                </c:pt>
                <c:pt idx="5">
                  <c:v>0.24</c:v>
                </c:pt>
                <c:pt idx="6">
                  <c:v>0.2</c:v>
                </c:pt>
              </c:numCache>
            </c:numRef>
          </c:val>
        </c:ser>
        <c:dLbls>
          <c:showLegendKey val="0"/>
          <c:showVal val="0"/>
          <c:showCatName val="0"/>
          <c:showSerName val="0"/>
          <c:showPercent val="0"/>
          <c:showBubbleSize val="0"/>
        </c:dLbls>
        <c:gapWidth val="80"/>
        <c:axId val="119473280"/>
        <c:axId val="119474816"/>
      </c:barChart>
      <c:catAx>
        <c:axId val="119473280"/>
        <c:scaling>
          <c:orientation val="minMax"/>
        </c:scaling>
        <c:delete val="0"/>
        <c:axPos val="b"/>
        <c:numFmt formatCode="General" sourceLinked="1"/>
        <c:majorTickMark val="out"/>
        <c:minorTickMark val="none"/>
        <c:tickLblPos val="nextTo"/>
        <c:crossAx val="119474816"/>
        <c:crosses val="autoZero"/>
        <c:auto val="1"/>
        <c:lblAlgn val="ctr"/>
        <c:lblOffset val="100"/>
        <c:noMultiLvlLbl val="0"/>
      </c:catAx>
      <c:valAx>
        <c:axId val="119474816"/>
        <c:scaling>
          <c:orientation val="minMax"/>
        </c:scaling>
        <c:delete val="1"/>
        <c:axPos val="l"/>
        <c:numFmt formatCode="0%" sourceLinked="1"/>
        <c:majorTickMark val="out"/>
        <c:minorTickMark val="none"/>
        <c:tickLblPos val="nextTo"/>
        <c:crossAx val="119473280"/>
        <c:crosses val="autoZero"/>
        <c:crossBetween val="between"/>
      </c:valAx>
      <c:spPr>
        <a:noFill/>
        <a:ln w="25400">
          <a:noFill/>
        </a:ln>
      </c:spPr>
    </c:plotArea>
    <c:plotVisOnly val="1"/>
    <c:dispBlanksAs val="gap"/>
    <c:showDLblsOverMax val="0"/>
  </c:chart>
  <c:spPr>
    <a:ln>
      <a:solidFill>
        <a:schemeClr val="bg1"/>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921519425456433"/>
          <c:y val="2.9943766071911047E-2"/>
          <c:w val="0.89078472015923826"/>
          <c:h val="0.97005631577606199"/>
        </c:manualLayout>
      </c:layout>
      <c:barChart>
        <c:barDir val="bar"/>
        <c:grouping val="clustered"/>
        <c:varyColors val="0"/>
        <c:ser>
          <c:idx val="0"/>
          <c:order val="0"/>
          <c:tx>
            <c:strRef>
              <c:f>Feuil1!$B$1</c:f>
              <c:strCache>
                <c:ptCount val="1"/>
                <c:pt idx="0">
                  <c:v>2014</c:v>
                </c:pt>
              </c:strCache>
            </c:strRef>
          </c:tx>
          <c:invertIfNegative val="0"/>
          <c:dLbls>
            <c:showLegendKey val="0"/>
            <c:showVal val="1"/>
            <c:showCatName val="0"/>
            <c:showSerName val="0"/>
            <c:showPercent val="0"/>
            <c:showBubbleSize val="0"/>
            <c:showLeaderLines val="0"/>
          </c:dLbls>
          <c:cat>
            <c:strRef>
              <c:f>Feuil1!$A$2:$A$8</c:f>
              <c:strCache>
                <c:ptCount val="7"/>
                <c:pt idx="0">
                  <c:v>TRP</c:v>
                </c:pt>
                <c:pt idx="1">
                  <c:v>COM</c:v>
                </c:pt>
                <c:pt idx="2">
                  <c:v>CHIM</c:v>
                </c:pt>
                <c:pt idx="3">
                  <c:v>IEM</c:v>
                </c:pt>
                <c:pt idx="4">
                  <c:v>AUTO</c:v>
                </c:pt>
                <c:pt idx="5">
                  <c:v>PHAR</c:v>
                </c:pt>
                <c:pt idx="6">
                  <c:v>IAA</c:v>
                </c:pt>
              </c:strCache>
            </c:strRef>
          </c:cat>
          <c:val>
            <c:numRef>
              <c:f>Feuil1!$B$2:$B$8</c:f>
              <c:numCache>
                <c:formatCode>0%</c:formatCode>
                <c:ptCount val="7"/>
                <c:pt idx="0">
                  <c:v>0.26598535409714485</c:v>
                </c:pt>
                <c:pt idx="1">
                  <c:v>0.42062482922224698</c:v>
                </c:pt>
                <c:pt idx="2">
                  <c:v>0.32732220016702773</c:v>
                </c:pt>
                <c:pt idx="3">
                  <c:v>0.34059314179796141</c:v>
                </c:pt>
                <c:pt idx="4">
                  <c:v>0.23502410800385717</c:v>
                </c:pt>
                <c:pt idx="5">
                  <c:v>0.39090041889593963</c:v>
                </c:pt>
                <c:pt idx="6">
                  <c:v>0.35852264350716351</c:v>
                </c:pt>
              </c:numCache>
            </c:numRef>
          </c:val>
        </c:ser>
        <c:ser>
          <c:idx val="1"/>
          <c:order val="1"/>
          <c:tx>
            <c:strRef>
              <c:f>Feuil1!$C$1</c:f>
              <c:strCache>
                <c:ptCount val="1"/>
                <c:pt idx="0">
                  <c:v>2013</c:v>
                </c:pt>
              </c:strCache>
            </c:strRef>
          </c:tx>
          <c:invertIfNegative val="0"/>
          <c:dLbls>
            <c:showLegendKey val="0"/>
            <c:showVal val="1"/>
            <c:showCatName val="0"/>
            <c:showSerName val="0"/>
            <c:showPercent val="0"/>
            <c:showBubbleSize val="0"/>
            <c:showLeaderLines val="0"/>
          </c:dLbls>
          <c:cat>
            <c:strRef>
              <c:f>Feuil1!$A$2:$A$8</c:f>
              <c:strCache>
                <c:ptCount val="7"/>
                <c:pt idx="0">
                  <c:v>TRP</c:v>
                </c:pt>
                <c:pt idx="1">
                  <c:v>COM</c:v>
                </c:pt>
                <c:pt idx="2">
                  <c:v>CHIM</c:v>
                </c:pt>
                <c:pt idx="3">
                  <c:v>IEM</c:v>
                </c:pt>
                <c:pt idx="4">
                  <c:v>AUTO</c:v>
                </c:pt>
                <c:pt idx="5">
                  <c:v>PHAR</c:v>
                </c:pt>
                <c:pt idx="6">
                  <c:v>IAA</c:v>
                </c:pt>
              </c:strCache>
            </c:strRef>
          </c:cat>
          <c:val>
            <c:numRef>
              <c:f>Feuil1!$C$2:$C$8</c:f>
              <c:numCache>
                <c:formatCode>0%</c:formatCode>
                <c:ptCount val="7"/>
                <c:pt idx="0">
                  <c:v>0.21</c:v>
                </c:pt>
                <c:pt idx="1">
                  <c:v>0.4</c:v>
                </c:pt>
                <c:pt idx="2">
                  <c:v>0.33</c:v>
                </c:pt>
                <c:pt idx="3">
                  <c:v>0.37</c:v>
                </c:pt>
                <c:pt idx="4">
                  <c:v>0.37</c:v>
                </c:pt>
                <c:pt idx="5">
                  <c:v>0.43</c:v>
                </c:pt>
                <c:pt idx="6">
                  <c:v>0.25</c:v>
                </c:pt>
              </c:numCache>
            </c:numRef>
          </c:val>
        </c:ser>
        <c:ser>
          <c:idx val="2"/>
          <c:order val="2"/>
          <c:tx>
            <c:strRef>
              <c:f>Feuil1!$D$1</c:f>
              <c:strCache>
                <c:ptCount val="1"/>
                <c:pt idx="0">
                  <c:v>2012</c:v>
                </c:pt>
              </c:strCache>
            </c:strRef>
          </c:tx>
          <c:invertIfNegative val="0"/>
          <c:dLbls>
            <c:showLegendKey val="0"/>
            <c:showVal val="1"/>
            <c:showCatName val="0"/>
            <c:showSerName val="0"/>
            <c:showPercent val="0"/>
            <c:showBubbleSize val="0"/>
            <c:showLeaderLines val="0"/>
          </c:dLbls>
          <c:cat>
            <c:strRef>
              <c:f>Feuil1!$A$2:$A$8</c:f>
              <c:strCache>
                <c:ptCount val="7"/>
                <c:pt idx="0">
                  <c:v>TRP</c:v>
                </c:pt>
                <c:pt idx="1">
                  <c:v>COM</c:v>
                </c:pt>
                <c:pt idx="2">
                  <c:v>CHIM</c:v>
                </c:pt>
                <c:pt idx="3">
                  <c:v>IEM</c:v>
                </c:pt>
                <c:pt idx="4">
                  <c:v>AUTO</c:v>
                </c:pt>
                <c:pt idx="5">
                  <c:v>PHAR</c:v>
                </c:pt>
                <c:pt idx="6">
                  <c:v>IAA</c:v>
                </c:pt>
              </c:strCache>
            </c:strRef>
          </c:cat>
          <c:val>
            <c:numRef>
              <c:f>Feuil1!$D$2:$D$8</c:f>
              <c:numCache>
                <c:formatCode>0%</c:formatCode>
                <c:ptCount val="7"/>
                <c:pt idx="0">
                  <c:v>0.27</c:v>
                </c:pt>
                <c:pt idx="1">
                  <c:v>0.4</c:v>
                </c:pt>
                <c:pt idx="2">
                  <c:v>0.26</c:v>
                </c:pt>
                <c:pt idx="3">
                  <c:v>0.41</c:v>
                </c:pt>
                <c:pt idx="4">
                  <c:v>0.27</c:v>
                </c:pt>
                <c:pt idx="5">
                  <c:v>0.32</c:v>
                </c:pt>
                <c:pt idx="6">
                  <c:v>0.4</c:v>
                </c:pt>
              </c:numCache>
            </c:numRef>
          </c:val>
        </c:ser>
        <c:dLbls>
          <c:showLegendKey val="0"/>
          <c:showVal val="0"/>
          <c:showCatName val="0"/>
          <c:showSerName val="0"/>
          <c:showPercent val="0"/>
          <c:showBubbleSize val="0"/>
        </c:dLbls>
        <c:gapWidth val="92"/>
        <c:axId val="119640832"/>
        <c:axId val="119642368"/>
      </c:barChart>
      <c:catAx>
        <c:axId val="119640832"/>
        <c:scaling>
          <c:orientation val="minMax"/>
        </c:scaling>
        <c:delete val="0"/>
        <c:axPos val="l"/>
        <c:numFmt formatCode="General" sourceLinked="1"/>
        <c:majorTickMark val="out"/>
        <c:minorTickMark val="none"/>
        <c:tickLblPos val="nextTo"/>
        <c:crossAx val="119642368"/>
        <c:crosses val="autoZero"/>
        <c:auto val="1"/>
        <c:lblAlgn val="ctr"/>
        <c:lblOffset val="100"/>
        <c:noMultiLvlLbl val="0"/>
      </c:catAx>
      <c:valAx>
        <c:axId val="119642368"/>
        <c:scaling>
          <c:orientation val="minMax"/>
        </c:scaling>
        <c:delete val="1"/>
        <c:axPos val="b"/>
        <c:numFmt formatCode="0%" sourceLinked="1"/>
        <c:majorTickMark val="out"/>
        <c:minorTickMark val="none"/>
        <c:tickLblPos val="nextTo"/>
        <c:crossAx val="11964083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4702501030346414E-2"/>
          <c:y val="2.7241046482092964E-2"/>
          <c:w val="0.90529749896965361"/>
          <c:h val="0.2752121742357963"/>
        </c:manualLayout>
      </c:layout>
      <c:barChart>
        <c:barDir val="bar"/>
        <c:grouping val="clustered"/>
        <c:varyColors val="0"/>
        <c:ser>
          <c:idx val="0"/>
          <c:order val="0"/>
          <c:tx>
            <c:strRef>
              <c:f>Feuil1!$B$1</c:f>
              <c:strCache>
                <c:ptCount val="1"/>
                <c:pt idx="0">
                  <c:v>2014</c:v>
                </c:pt>
              </c:strCache>
            </c:strRef>
          </c:tx>
          <c:invertIfNegative val="0"/>
          <c:dLbls>
            <c:showLegendKey val="0"/>
            <c:showVal val="1"/>
            <c:showCatName val="0"/>
            <c:showSerName val="0"/>
            <c:showPercent val="0"/>
            <c:showBubbleSize val="0"/>
            <c:showLeaderLines val="0"/>
          </c:dLbls>
          <c:cat>
            <c:strRef>
              <c:f>Feuil1!$A$2:$A$3</c:f>
              <c:strCache>
                <c:ptCount val="2"/>
                <c:pt idx="0">
                  <c:v>TRP</c:v>
                </c:pt>
                <c:pt idx="1">
                  <c:v>COM</c:v>
                </c:pt>
              </c:strCache>
            </c:strRef>
          </c:cat>
          <c:val>
            <c:numRef>
              <c:f>Feuil1!$B$2:$B$3</c:f>
              <c:numCache>
                <c:formatCode>0%</c:formatCode>
                <c:ptCount val="2"/>
                <c:pt idx="0">
                  <c:v>0.14000000000000001</c:v>
                </c:pt>
                <c:pt idx="1">
                  <c:v>0.26</c:v>
                </c:pt>
              </c:numCache>
            </c:numRef>
          </c:val>
        </c:ser>
        <c:ser>
          <c:idx val="1"/>
          <c:order val="1"/>
          <c:tx>
            <c:strRef>
              <c:f>Feuil1!$C$1</c:f>
              <c:strCache>
                <c:ptCount val="1"/>
                <c:pt idx="0">
                  <c:v>2013</c:v>
                </c:pt>
              </c:strCache>
            </c:strRef>
          </c:tx>
          <c:invertIfNegative val="0"/>
          <c:dLbls>
            <c:showLegendKey val="0"/>
            <c:showVal val="1"/>
            <c:showCatName val="0"/>
            <c:showSerName val="0"/>
            <c:showPercent val="0"/>
            <c:showBubbleSize val="0"/>
            <c:showLeaderLines val="0"/>
          </c:dLbls>
          <c:cat>
            <c:strRef>
              <c:f>Feuil1!$A$2:$A$3</c:f>
              <c:strCache>
                <c:ptCount val="2"/>
                <c:pt idx="0">
                  <c:v>TRP</c:v>
                </c:pt>
                <c:pt idx="1">
                  <c:v>COM</c:v>
                </c:pt>
              </c:strCache>
            </c:strRef>
          </c:cat>
          <c:val>
            <c:numRef>
              <c:f>Feuil1!$C$2:$C$3</c:f>
              <c:numCache>
                <c:formatCode>0%</c:formatCode>
                <c:ptCount val="2"/>
                <c:pt idx="0">
                  <c:v>0.21</c:v>
                </c:pt>
                <c:pt idx="1">
                  <c:v>0.26</c:v>
                </c:pt>
              </c:numCache>
            </c:numRef>
          </c:val>
        </c:ser>
        <c:ser>
          <c:idx val="2"/>
          <c:order val="2"/>
          <c:tx>
            <c:strRef>
              <c:f>Feuil1!$D$1</c:f>
              <c:strCache>
                <c:ptCount val="1"/>
                <c:pt idx="0">
                  <c:v>2012</c:v>
                </c:pt>
              </c:strCache>
            </c:strRef>
          </c:tx>
          <c:invertIfNegative val="0"/>
          <c:dLbls>
            <c:showLegendKey val="0"/>
            <c:showVal val="1"/>
            <c:showCatName val="0"/>
            <c:showSerName val="0"/>
            <c:showPercent val="0"/>
            <c:showBubbleSize val="0"/>
            <c:showLeaderLines val="0"/>
          </c:dLbls>
          <c:cat>
            <c:strRef>
              <c:f>Feuil1!$A$2:$A$3</c:f>
              <c:strCache>
                <c:ptCount val="2"/>
                <c:pt idx="0">
                  <c:v>TRP</c:v>
                </c:pt>
                <c:pt idx="1">
                  <c:v>COM</c:v>
                </c:pt>
              </c:strCache>
            </c:strRef>
          </c:cat>
          <c:val>
            <c:numRef>
              <c:f>Feuil1!$D$2:$D$3</c:f>
              <c:numCache>
                <c:formatCode>0%</c:formatCode>
                <c:ptCount val="2"/>
                <c:pt idx="0">
                  <c:v>0.28999999999999998</c:v>
                </c:pt>
                <c:pt idx="1">
                  <c:v>0.48</c:v>
                </c:pt>
              </c:numCache>
            </c:numRef>
          </c:val>
        </c:ser>
        <c:dLbls>
          <c:showLegendKey val="0"/>
          <c:showVal val="0"/>
          <c:showCatName val="0"/>
          <c:showSerName val="0"/>
          <c:showPercent val="0"/>
          <c:showBubbleSize val="0"/>
        </c:dLbls>
        <c:gapWidth val="100"/>
        <c:axId val="119726464"/>
        <c:axId val="119728000"/>
      </c:barChart>
      <c:catAx>
        <c:axId val="119726464"/>
        <c:scaling>
          <c:orientation val="minMax"/>
        </c:scaling>
        <c:delete val="0"/>
        <c:axPos val="l"/>
        <c:numFmt formatCode="General" sourceLinked="1"/>
        <c:majorTickMark val="out"/>
        <c:minorTickMark val="none"/>
        <c:tickLblPos val="nextTo"/>
        <c:crossAx val="119728000"/>
        <c:crosses val="autoZero"/>
        <c:auto val="1"/>
        <c:lblAlgn val="ctr"/>
        <c:lblOffset val="100"/>
        <c:noMultiLvlLbl val="0"/>
      </c:catAx>
      <c:valAx>
        <c:axId val="119728000"/>
        <c:scaling>
          <c:orientation val="minMax"/>
        </c:scaling>
        <c:delete val="1"/>
        <c:axPos val="b"/>
        <c:numFmt formatCode="0%" sourceLinked="1"/>
        <c:majorTickMark val="out"/>
        <c:minorTickMark val="none"/>
        <c:tickLblPos val="nextTo"/>
        <c:crossAx val="119726464"/>
        <c:crosses val="autoZero"/>
        <c:crossBetween val="between"/>
      </c:valAx>
      <c:spPr>
        <a:ln>
          <a:solidFill>
            <a:schemeClr val="bg1"/>
          </a:solidFill>
        </a:ln>
      </c:spPr>
    </c:plotArea>
    <c:legend>
      <c:legendPos val="r"/>
      <c:layout>
        <c:manualLayout>
          <c:xMode val="edge"/>
          <c:yMode val="edge"/>
          <c:x val="0.34362399947940392"/>
          <c:y val="0.53334775577295257"/>
          <c:w val="0.10265699225613327"/>
          <c:h val="0.21335068575772428"/>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percentStacked"/>
        <c:varyColors val="0"/>
        <c:ser>
          <c:idx val="0"/>
          <c:order val="0"/>
          <c:tx>
            <c:strRef>
              <c:f>Sheet1!$A$2</c:f>
              <c:strCache>
                <c:ptCount val="1"/>
                <c:pt idx="0">
                  <c:v>Pénurie de candidats</c:v>
                </c:pt>
              </c:strCache>
            </c:strRef>
          </c:tx>
          <c:spPr>
            <a:solidFill>
              <a:schemeClr val="tx2">
                <a:lumMod val="40000"/>
                <a:lumOff val="60000"/>
              </a:schemeClr>
            </a:solidFill>
          </c:spPr>
          <c:invertIfNegative val="0"/>
          <c:cat>
            <c:strRef>
              <c:f>Sheet1!$B$1:$D$1</c:f>
              <c:strCache>
                <c:ptCount val="3"/>
                <c:pt idx="0">
                  <c:v>Opérateurs</c:v>
                </c:pt>
                <c:pt idx="1">
                  <c:v>Techniciens/Agents de maîtrise</c:v>
                </c:pt>
                <c:pt idx="2">
                  <c:v>Cadres</c:v>
                </c:pt>
              </c:strCache>
            </c:strRef>
          </c:cat>
          <c:val>
            <c:numRef>
              <c:f>Sheet1!$B$2:$D$2</c:f>
              <c:numCache>
                <c:formatCode>0%</c:formatCode>
                <c:ptCount val="3"/>
                <c:pt idx="0">
                  <c:v>0.3612078556804641</c:v>
                </c:pt>
                <c:pt idx="1">
                  <c:v>0.23845563714478227</c:v>
                </c:pt>
                <c:pt idx="2">
                  <c:v>0.353084813722774</c:v>
                </c:pt>
              </c:numCache>
            </c:numRef>
          </c:val>
        </c:ser>
        <c:ser>
          <c:idx val="1"/>
          <c:order val="1"/>
          <c:tx>
            <c:strRef>
              <c:f>Sheet1!$A$3</c:f>
              <c:strCache>
                <c:ptCount val="1"/>
                <c:pt idx="0">
                  <c:v>Faible qualification des candidats (formation insuffisante/inadéquate)</c:v>
                </c:pt>
              </c:strCache>
            </c:strRef>
          </c:tx>
          <c:spPr>
            <a:solidFill>
              <a:schemeClr val="accent2">
                <a:lumMod val="60000"/>
                <a:lumOff val="40000"/>
              </a:schemeClr>
            </a:solidFill>
          </c:spPr>
          <c:invertIfNegative val="0"/>
          <c:cat>
            <c:strRef>
              <c:f>Sheet1!$B$1:$D$1</c:f>
              <c:strCache>
                <c:ptCount val="3"/>
                <c:pt idx="0">
                  <c:v>Opérateurs</c:v>
                </c:pt>
                <c:pt idx="1">
                  <c:v>Techniciens/Agents de maîtrise</c:v>
                </c:pt>
                <c:pt idx="2">
                  <c:v>Cadres</c:v>
                </c:pt>
              </c:strCache>
            </c:strRef>
          </c:cat>
          <c:val>
            <c:numRef>
              <c:f>Sheet1!$B$3:$D$3</c:f>
              <c:numCache>
                <c:formatCode>0%</c:formatCode>
                <c:ptCount val="3"/>
                <c:pt idx="0">
                  <c:v>0.26436338874356291</c:v>
                </c:pt>
                <c:pt idx="1">
                  <c:v>0.13350960658761968</c:v>
                </c:pt>
                <c:pt idx="2">
                  <c:v>8.102957285199637E-2</c:v>
                </c:pt>
              </c:numCache>
            </c:numRef>
          </c:val>
        </c:ser>
        <c:ser>
          <c:idx val="2"/>
          <c:order val="2"/>
          <c:tx>
            <c:strRef>
              <c:f>Sheet1!$A$4</c:f>
              <c:strCache>
                <c:ptCount val="1"/>
                <c:pt idx="0">
                  <c:v>Faible mobilité géographique des candidats </c:v>
                </c:pt>
              </c:strCache>
            </c:strRef>
          </c:tx>
          <c:spPr>
            <a:solidFill>
              <a:schemeClr val="accent3">
                <a:lumMod val="60000"/>
                <a:lumOff val="40000"/>
              </a:schemeClr>
            </a:solidFill>
          </c:spPr>
          <c:invertIfNegative val="0"/>
          <c:cat>
            <c:strRef>
              <c:f>Sheet1!$B$1:$D$1</c:f>
              <c:strCache>
                <c:ptCount val="3"/>
                <c:pt idx="0">
                  <c:v>Opérateurs</c:v>
                </c:pt>
                <c:pt idx="1">
                  <c:v>Techniciens/Agents de maîtrise</c:v>
                </c:pt>
                <c:pt idx="2">
                  <c:v>Cadres</c:v>
                </c:pt>
              </c:strCache>
            </c:strRef>
          </c:cat>
          <c:val>
            <c:numRef>
              <c:f>Sheet1!$B$4:$D$4</c:f>
              <c:numCache>
                <c:formatCode>0%</c:formatCode>
                <c:ptCount val="3"/>
                <c:pt idx="0">
                  <c:v>0.16487682360134479</c:v>
                </c:pt>
                <c:pt idx="1">
                  <c:v>0.14223874520714719</c:v>
                </c:pt>
                <c:pt idx="2">
                  <c:v>0.25795934676659255</c:v>
                </c:pt>
              </c:numCache>
            </c:numRef>
          </c:val>
        </c:ser>
        <c:ser>
          <c:idx val="3"/>
          <c:order val="3"/>
          <c:tx>
            <c:strRef>
              <c:f>Sheet1!$A$5</c:f>
              <c:strCache>
                <c:ptCount val="1"/>
                <c:pt idx="0">
                  <c:v>Manque de motivation des candidats</c:v>
                </c:pt>
              </c:strCache>
            </c:strRef>
          </c:tx>
          <c:spPr>
            <a:solidFill>
              <a:schemeClr val="accent4">
                <a:lumMod val="60000"/>
                <a:lumOff val="40000"/>
              </a:schemeClr>
            </a:solidFill>
          </c:spPr>
          <c:invertIfNegative val="0"/>
          <c:cat>
            <c:strRef>
              <c:f>Sheet1!$B$1:$D$1</c:f>
              <c:strCache>
                <c:ptCount val="3"/>
                <c:pt idx="0">
                  <c:v>Opérateurs</c:v>
                </c:pt>
                <c:pt idx="1">
                  <c:v>Techniciens/Agents de maîtrise</c:v>
                </c:pt>
                <c:pt idx="2">
                  <c:v>Cadres</c:v>
                </c:pt>
              </c:strCache>
            </c:strRef>
          </c:cat>
          <c:val>
            <c:numRef>
              <c:f>Sheet1!$B$5:$D$5</c:f>
              <c:numCache>
                <c:formatCode>0%</c:formatCode>
                <c:ptCount val="3"/>
                <c:pt idx="0">
                  <c:v>0.59404050436518341</c:v>
                </c:pt>
                <c:pt idx="1">
                  <c:v>0.21673489428482373</c:v>
                </c:pt>
                <c:pt idx="2">
                  <c:v>0.18599404072931647</c:v>
                </c:pt>
              </c:numCache>
            </c:numRef>
          </c:val>
        </c:ser>
        <c:ser>
          <c:idx val="4"/>
          <c:order val="4"/>
          <c:tx>
            <c:strRef>
              <c:f>Sheet1!$A$6</c:f>
              <c:strCache>
                <c:ptCount val="1"/>
                <c:pt idx="0">
                  <c:v>Manque d'expérience des candidats</c:v>
                </c:pt>
              </c:strCache>
            </c:strRef>
          </c:tx>
          <c:spPr>
            <a:solidFill>
              <a:schemeClr val="accent5">
                <a:lumMod val="60000"/>
                <a:lumOff val="40000"/>
              </a:schemeClr>
            </a:solidFill>
          </c:spPr>
          <c:invertIfNegative val="0"/>
          <c:cat>
            <c:strRef>
              <c:f>Sheet1!$B$1:$D$1</c:f>
              <c:strCache>
                <c:ptCount val="3"/>
                <c:pt idx="0">
                  <c:v>Opérateurs</c:v>
                </c:pt>
                <c:pt idx="1">
                  <c:v>Techniciens/Agents de maîtrise</c:v>
                </c:pt>
                <c:pt idx="2">
                  <c:v>Cadres</c:v>
                </c:pt>
              </c:strCache>
            </c:strRef>
          </c:cat>
          <c:val>
            <c:numRef>
              <c:f>Sheet1!$B$6:$D$6</c:f>
              <c:numCache>
                <c:formatCode>0%</c:formatCode>
                <c:ptCount val="3"/>
                <c:pt idx="0">
                  <c:v>0.18228364698743216</c:v>
                </c:pt>
                <c:pt idx="1">
                  <c:v>0.12707642953000231</c:v>
                </c:pt>
                <c:pt idx="2">
                  <c:v>6.7554080256905971E-2</c:v>
                </c:pt>
              </c:numCache>
            </c:numRef>
          </c:val>
        </c:ser>
        <c:ser>
          <c:idx val="5"/>
          <c:order val="5"/>
          <c:tx>
            <c:strRef>
              <c:f>Sheet1!$A$7</c:f>
              <c:strCache>
                <c:ptCount val="1"/>
                <c:pt idx="0">
                  <c:v>Autres </c:v>
                </c:pt>
              </c:strCache>
            </c:strRef>
          </c:tx>
          <c:spPr>
            <a:solidFill>
              <a:schemeClr val="accent6">
                <a:lumMod val="60000"/>
                <a:lumOff val="40000"/>
              </a:schemeClr>
            </a:solidFill>
          </c:spPr>
          <c:invertIfNegative val="0"/>
          <c:cat>
            <c:strRef>
              <c:f>Sheet1!$B$1:$D$1</c:f>
              <c:strCache>
                <c:ptCount val="3"/>
                <c:pt idx="0">
                  <c:v>Opérateurs</c:v>
                </c:pt>
                <c:pt idx="1">
                  <c:v>Techniciens/Agents de maîtrise</c:v>
                </c:pt>
                <c:pt idx="2">
                  <c:v>Cadres</c:v>
                </c:pt>
              </c:strCache>
            </c:strRef>
          </c:cat>
          <c:val>
            <c:numRef>
              <c:f>Sheet1!$B$7:$D$7</c:f>
              <c:numCache>
                <c:formatCode>0%</c:formatCode>
                <c:ptCount val="3"/>
                <c:pt idx="0">
                  <c:v>0.21655594724135449</c:v>
                </c:pt>
                <c:pt idx="1">
                  <c:v>0.1419846872456248</c:v>
                </c:pt>
                <c:pt idx="2">
                  <c:v>5.4378145672414759E-2</c:v>
                </c:pt>
              </c:numCache>
            </c:numRef>
          </c:val>
        </c:ser>
        <c:dLbls>
          <c:showLegendKey val="0"/>
          <c:showVal val="1"/>
          <c:showCatName val="0"/>
          <c:showSerName val="0"/>
          <c:showPercent val="0"/>
          <c:showBubbleSize val="0"/>
        </c:dLbls>
        <c:gapWidth val="80"/>
        <c:overlap val="100"/>
        <c:axId val="119861632"/>
        <c:axId val="119863168"/>
      </c:barChart>
      <c:catAx>
        <c:axId val="119861632"/>
        <c:scaling>
          <c:orientation val="minMax"/>
        </c:scaling>
        <c:delete val="0"/>
        <c:axPos val="l"/>
        <c:numFmt formatCode="General" sourceLinked="1"/>
        <c:majorTickMark val="out"/>
        <c:minorTickMark val="none"/>
        <c:tickLblPos val="low"/>
        <c:txPr>
          <a:bodyPr rot="0" vert="horz"/>
          <a:lstStyle/>
          <a:p>
            <a:pPr>
              <a:defRPr/>
            </a:pPr>
            <a:endParaRPr lang="fr-FR"/>
          </a:p>
        </c:txPr>
        <c:crossAx val="119863168"/>
        <c:crosses val="autoZero"/>
        <c:auto val="1"/>
        <c:lblAlgn val="ctr"/>
        <c:lblOffset val="100"/>
        <c:noMultiLvlLbl val="0"/>
      </c:catAx>
      <c:valAx>
        <c:axId val="119863168"/>
        <c:scaling>
          <c:orientation val="minMax"/>
        </c:scaling>
        <c:delete val="1"/>
        <c:axPos val="b"/>
        <c:numFmt formatCode="0%" sourceLinked="1"/>
        <c:majorTickMark val="out"/>
        <c:minorTickMark val="none"/>
        <c:tickLblPos val="nextTo"/>
        <c:crossAx val="119861632"/>
        <c:crosses val="autoZero"/>
        <c:crossBetween val="between"/>
      </c:valAx>
    </c:plotArea>
    <c:legend>
      <c:legendPos val="b"/>
      <c:layout>
        <c:manualLayout>
          <c:xMode val="edge"/>
          <c:yMode val="edge"/>
          <c:x val="0.18142546939227791"/>
          <c:y val="0.76126766507127797"/>
          <c:w val="0.80966188363510394"/>
          <c:h val="0.20751411321567559"/>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TRP</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Sheet1!$A$2:$A$4</c:f>
              <c:strCache>
                <c:ptCount val="3"/>
                <c:pt idx="0">
                  <c:v>Oui</c:v>
                </c:pt>
                <c:pt idx="1">
                  <c:v>Non</c:v>
                </c:pt>
                <c:pt idx="2">
                  <c:v>Ne se prononce pas</c:v>
                </c:pt>
              </c:strCache>
            </c:strRef>
          </c:cat>
          <c:val>
            <c:numRef>
              <c:f>Sheet1!$B$2:$B$4</c:f>
              <c:numCache>
                <c:formatCode>0%</c:formatCode>
                <c:ptCount val="3"/>
                <c:pt idx="0">
                  <c:v>0.37</c:v>
                </c:pt>
                <c:pt idx="1">
                  <c:v>0.6</c:v>
                </c:pt>
                <c:pt idx="2">
                  <c:v>0.03</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2871806865725943"/>
          <c:y val="4.060913705583756E-2"/>
          <c:w val="0.79866947324653725"/>
          <c:h val="0.12238858467564651"/>
        </c:manualLayout>
      </c:layout>
      <c:overlay val="0"/>
      <c:spPr>
        <a:ln>
          <a:solidFill>
            <a:sysClr val="window" lastClr="FFFFFF">
              <a:lumMod val="50000"/>
            </a:sysClr>
          </a:solidFill>
        </a:ln>
      </c:spPr>
    </c:legend>
    <c:plotVisOnly val="1"/>
    <c:dispBlanksAs val="zero"/>
    <c:showDLblsOverMax val="0"/>
  </c:chart>
  <c:spPr>
    <a:ln>
      <a:solidFill>
        <a:schemeClr val="bg1"/>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34279944272368795"/>
          <c:y val="1.8100111373318707E-3"/>
          <c:w val="0.65615678371957054"/>
          <c:h val="0.9849793998302141"/>
        </c:manualLayout>
      </c:layout>
      <c:barChart>
        <c:barDir val="bar"/>
        <c:grouping val="clustered"/>
        <c:varyColors val="0"/>
        <c:ser>
          <c:idx val="2"/>
          <c:order val="0"/>
          <c:tx>
            <c:strRef>
              <c:f>Feuil1!$B$1</c:f>
              <c:strCache>
                <c:ptCount val="1"/>
                <c:pt idx="0">
                  <c:v>Colonne1</c:v>
                </c:pt>
              </c:strCache>
            </c:strRef>
          </c:tx>
          <c:spPr>
            <a:solidFill>
              <a:schemeClr val="accent2">
                <a:lumMod val="75000"/>
              </a:schemeClr>
            </a:solidFill>
          </c:spPr>
          <c:invertIfNegative val="0"/>
          <c:cat>
            <c:strRef>
              <c:f>Feuil1!$A$2:$A$6</c:f>
              <c:strCache>
                <c:ptCount val="5"/>
                <c:pt idx="0">
                  <c:v>Autres, précisez</c:v>
                </c:pt>
                <c:pt idx="1">
                  <c:v>Manque de services sur place (restauration, garderie…)</c:v>
                </c:pt>
                <c:pt idx="2">
                  <c:v>Défaut de transports en commun adéquats</c:v>
                </c:pt>
                <c:pt idx="3">
                  <c:v>Concurrence pour le recrutement avec d'autres entreprises plus attractives</c:v>
                </c:pt>
                <c:pt idx="4">
                  <c:v>Bassin d'emploi étroit, ou éloigné, pour les emplois proposés</c:v>
                </c:pt>
              </c:strCache>
            </c:strRef>
          </c:cat>
          <c:val>
            <c:numRef>
              <c:f>Feuil1!$B$2:$B$6</c:f>
              <c:numCache>
                <c:formatCode>0%</c:formatCode>
                <c:ptCount val="5"/>
                <c:pt idx="0">
                  <c:v>0.05</c:v>
                </c:pt>
                <c:pt idx="1">
                  <c:v>0.06</c:v>
                </c:pt>
                <c:pt idx="2">
                  <c:v>0.23</c:v>
                </c:pt>
                <c:pt idx="3">
                  <c:v>0.32</c:v>
                </c:pt>
                <c:pt idx="4">
                  <c:v>0.74</c:v>
                </c:pt>
              </c:numCache>
            </c:numRef>
          </c:val>
        </c:ser>
        <c:dLbls>
          <c:showLegendKey val="0"/>
          <c:showVal val="1"/>
          <c:showCatName val="0"/>
          <c:showSerName val="0"/>
          <c:showPercent val="0"/>
          <c:showBubbleSize val="0"/>
        </c:dLbls>
        <c:gapWidth val="50"/>
        <c:axId val="119935360"/>
        <c:axId val="119936896"/>
      </c:barChart>
      <c:catAx>
        <c:axId val="119935360"/>
        <c:scaling>
          <c:orientation val="minMax"/>
        </c:scaling>
        <c:delete val="0"/>
        <c:axPos val="l"/>
        <c:numFmt formatCode="General" sourceLinked="1"/>
        <c:majorTickMark val="none"/>
        <c:minorTickMark val="none"/>
        <c:tickLblPos val="nextTo"/>
        <c:txPr>
          <a:bodyPr rot="0" vert="horz"/>
          <a:lstStyle/>
          <a:p>
            <a:pPr>
              <a:defRPr/>
            </a:pPr>
            <a:endParaRPr lang="fr-FR"/>
          </a:p>
        </c:txPr>
        <c:crossAx val="119936896"/>
        <c:crosses val="autoZero"/>
        <c:auto val="1"/>
        <c:lblAlgn val="ctr"/>
        <c:lblOffset val="100"/>
        <c:noMultiLvlLbl val="0"/>
      </c:catAx>
      <c:valAx>
        <c:axId val="119936896"/>
        <c:scaling>
          <c:orientation val="minMax"/>
        </c:scaling>
        <c:delete val="1"/>
        <c:axPos val="b"/>
        <c:numFmt formatCode="0%" sourceLinked="1"/>
        <c:majorTickMark val="out"/>
        <c:minorTickMark val="none"/>
        <c:tickLblPos val="nextTo"/>
        <c:crossAx val="119935360"/>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2"/>
          <c:order val="0"/>
          <c:tx>
            <c:strRef>
              <c:f>Feuil1!$B$2</c:f>
              <c:strCache>
                <c:ptCount val="1"/>
                <c:pt idx="0">
                  <c:v>35%</c:v>
                </c:pt>
              </c:strCache>
            </c:strRef>
          </c:tx>
          <c:spPr>
            <a:solidFill>
              <a:schemeClr val="tx2">
                <a:lumMod val="60000"/>
                <a:lumOff val="40000"/>
              </a:schemeClr>
            </a:solidFill>
          </c:spPr>
          <c:invertIfNegative val="0"/>
          <c:cat>
            <c:strRef>
              <c:f>Feuil1!$C$1:$J$1</c:f>
              <c:strCache>
                <c:ptCount val="8"/>
                <c:pt idx="0">
                  <c:v>2007</c:v>
                </c:pt>
                <c:pt idx="1">
                  <c:v>2008</c:v>
                </c:pt>
                <c:pt idx="2">
                  <c:v>2009</c:v>
                </c:pt>
                <c:pt idx="3">
                  <c:v>2010</c:v>
                </c:pt>
                <c:pt idx="4">
                  <c:v>2011</c:v>
                </c:pt>
                <c:pt idx="5">
                  <c:v>2012</c:v>
                </c:pt>
                <c:pt idx="6">
                  <c:v>2013</c:v>
                </c:pt>
                <c:pt idx="7">
                  <c:v>2014</c:v>
                </c:pt>
              </c:strCache>
            </c:strRef>
          </c:cat>
          <c:val>
            <c:numRef>
              <c:f>Feuil1!$C$2:$J$2</c:f>
              <c:numCache>
                <c:formatCode>0%</c:formatCode>
                <c:ptCount val="8"/>
                <c:pt idx="0">
                  <c:v>0.4</c:v>
                </c:pt>
                <c:pt idx="1">
                  <c:v>0.4</c:v>
                </c:pt>
                <c:pt idx="2">
                  <c:v>0.31</c:v>
                </c:pt>
                <c:pt idx="3">
                  <c:v>0.38</c:v>
                </c:pt>
                <c:pt idx="4">
                  <c:v>0.34</c:v>
                </c:pt>
                <c:pt idx="5">
                  <c:v>0.4</c:v>
                </c:pt>
                <c:pt idx="6">
                  <c:v>0.34</c:v>
                </c:pt>
                <c:pt idx="7">
                  <c:v>0.37</c:v>
                </c:pt>
              </c:numCache>
            </c:numRef>
          </c:val>
        </c:ser>
        <c:dLbls>
          <c:showLegendKey val="0"/>
          <c:showVal val="1"/>
          <c:showCatName val="0"/>
          <c:showSerName val="0"/>
          <c:showPercent val="0"/>
          <c:showBubbleSize val="0"/>
        </c:dLbls>
        <c:gapWidth val="90"/>
        <c:overlap val="-25"/>
        <c:axId val="120055680"/>
        <c:axId val="120057216"/>
      </c:barChart>
      <c:catAx>
        <c:axId val="120055680"/>
        <c:scaling>
          <c:orientation val="minMax"/>
        </c:scaling>
        <c:delete val="0"/>
        <c:axPos val="b"/>
        <c:numFmt formatCode="General" sourceLinked="1"/>
        <c:majorTickMark val="none"/>
        <c:minorTickMark val="none"/>
        <c:tickLblPos val="nextTo"/>
        <c:txPr>
          <a:bodyPr rot="0" vert="horz"/>
          <a:lstStyle/>
          <a:p>
            <a:pPr>
              <a:defRPr/>
            </a:pPr>
            <a:endParaRPr lang="fr-FR"/>
          </a:p>
        </c:txPr>
        <c:crossAx val="120057216"/>
        <c:crosses val="autoZero"/>
        <c:auto val="1"/>
        <c:lblAlgn val="ctr"/>
        <c:lblOffset val="100"/>
        <c:tickLblSkip val="1"/>
        <c:tickMarkSkip val="1"/>
        <c:noMultiLvlLbl val="0"/>
      </c:catAx>
      <c:valAx>
        <c:axId val="120057216"/>
        <c:scaling>
          <c:orientation val="minMax"/>
        </c:scaling>
        <c:delete val="1"/>
        <c:axPos val="l"/>
        <c:numFmt formatCode="0%" sourceLinked="1"/>
        <c:majorTickMark val="none"/>
        <c:minorTickMark val="none"/>
        <c:tickLblPos val="nextTo"/>
        <c:crossAx val="120055680"/>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3.8495188101487311E-2"/>
          <c:y val="0.14768080111358112"/>
          <c:w val="0.92300962379702534"/>
          <c:h val="0.72139097237351257"/>
        </c:manualLayout>
      </c:layout>
      <c:barChart>
        <c:barDir val="col"/>
        <c:grouping val="clustered"/>
        <c:varyColors val="0"/>
        <c:ser>
          <c:idx val="2"/>
          <c:order val="0"/>
          <c:tx>
            <c:strRef>
              <c:f>Feuil1!$B$2</c:f>
              <c:strCache>
                <c:ptCount val="1"/>
                <c:pt idx="0">
                  <c:v>28%</c:v>
                </c:pt>
              </c:strCache>
            </c:strRef>
          </c:tx>
          <c:spPr>
            <a:solidFill>
              <a:schemeClr val="tx2">
                <a:lumMod val="60000"/>
                <a:lumOff val="40000"/>
              </a:schemeClr>
            </a:solidFill>
          </c:spPr>
          <c:invertIfNegative val="0"/>
          <c:cat>
            <c:strRef>
              <c:f>Feuil1!$C$1:$H$1</c:f>
              <c:strCache>
                <c:ptCount val="6"/>
                <c:pt idx="0">
                  <c:v>2009</c:v>
                </c:pt>
                <c:pt idx="1">
                  <c:v>2010</c:v>
                </c:pt>
                <c:pt idx="2">
                  <c:v>2011</c:v>
                </c:pt>
                <c:pt idx="3">
                  <c:v>2012</c:v>
                </c:pt>
                <c:pt idx="4">
                  <c:v>2013</c:v>
                </c:pt>
                <c:pt idx="5">
                  <c:v>2014</c:v>
                </c:pt>
              </c:strCache>
            </c:strRef>
          </c:cat>
          <c:val>
            <c:numRef>
              <c:f>Feuil1!$C$2:$H$2</c:f>
              <c:numCache>
                <c:formatCode>0%</c:formatCode>
                <c:ptCount val="6"/>
                <c:pt idx="0">
                  <c:v>0.23</c:v>
                </c:pt>
                <c:pt idx="1">
                  <c:v>0.17</c:v>
                </c:pt>
                <c:pt idx="2">
                  <c:v>0.25</c:v>
                </c:pt>
                <c:pt idx="3">
                  <c:v>0.35</c:v>
                </c:pt>
                <c:pt idx="4">
                  <c:v>0.21</c:v>
                </c:pt>
                <c:pt idx="5">
                  <c:v>0.25</c:v>
                </c:pt>
              </c:numCache>
            </c:numRef>
          </c:val>
        </c:ser>
        <c:dLbls>
          <c:showLegendKey val="0"/>
          <c:showVal val="1"/>
          <c:showCatName val="0"/>
          <c:showSerName val="0"/>
          <c:showPercent val="0"/>
          <c:showBubbleSize val="0"/>
        </c:dLbls>
        <c:gapWidth val="90"/>
        <c:overlap val="-25"/>
        <c:axId val="120122752"/>
        <c:axId val="120030336"/>
      </c:barChart>
      <c:catAx>
        <c:axId val="120122752"/>
        <c:scaling>
          <c:orientation val="minMax"/>
        </c:scaling>
        <c:delete val="0"/>
        <c:axPos val="b"/>
        <c:numFmt formatCode="General" sourceLinked="1"/>
        <c:majorTickMark val="none"/>
        <c:minorTickMark val="none"/>
        <c:tickLblPos val="nextTo"/>
        <c:txPr>
          <a:bodyPr rot="0" vert="horz"/>
          <a:lstStyle/>
          <a:p>
            <a:pPr>
              <a:defRPr/>
            </a:pPr>
            <a:endParaRPr lang="fr-FR"/>
          </a:p>
        </c:txPr>
        <c:crossAx val="120030336"/>
        <c:crosses val="autoZero"/>
        <c:auto val="1"/>
        <c:lblAlgn val="ctr"/>
        <c:lblOffset val="100"/>
        <c:tickLblSkip val="1"/>
        <c:tickMarkSkip val="1"/>
        <c:noMultiLvlLbl val="0"/>
      </c:catAx>
      <c:valAx>
        <c:axId val="120030336"/>
        <c:scaling>
          <c:orientation val="minMax"/>
        </c:scaling>
        <c:delete val="1"/>
        <c:axPos val="l"/>
        <c:numFmt formatCode="0%" sourceLinked="1"/>
        <c:majorTickMark val="out"/>
        <c:minorTickMark val="none"/>
        <c:tickLblPos val="nextTo"/>
        <c:crossAx val="12012275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2"/>
          <c:order val="0"/>
          <c:tx>
            <c:strRef>
              <c:f>Sheet1!$A$2</c:f>
              <c:strCache>
                <c:ptCount val="1"/>
                <c:pt idx="0">
                  <c:v>2008</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Sheet1!$B$2:$F$2</c:f>
              <c:numCache>
                <c:formatCode>0%</c:formatCode>
                <c:ptCount val="5"/>
                <c:pt idx="0">
                  <c:v>0.3</c:v>
                </c:pt>
                <c:pt idx="1">
                  <c:v>0.36</c:v>
                </c:pt>
                <c:pt idx="2">
                  <c:v>0.38</c:v>
                </c:pt>
                <c:pt idx="3">
                  <c:v>0.54</c:v>
                </c:pt>
                <c:pt idx="4">
                  <c:v>0.39</c:v>
                </c:pt>
              </c:numCache>
            </c:numRef>
          </c:val>
        </c:ser>
        <c:ser>
          <c:idx val="3"/>
          <c:order val="1"/>
          <c:tx>
            <c:strRef>
              <c:f>Sheet1!$A$3</c:f>
              <c:strCache>
                <c:ptCount val="1"/>
                <c:pt idx="0">
                  <c:v>2009</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Sheet1!$B$3:$F$3</c:f>
              <c:numCache>
                <c:formatCode>0%</c:formatCode>
                <c:ptCount val="5"/>
                <c:pt idx="0">
                  <c:v>0.25</c:v>
                </c:pt>
                <c:pt idx="1">
                  <c:v>0.24</c:v>
                </c:pt>
                <c:pt idx="2">
                  <c:v>0.25</c:v>
                </c:pt>
                <c:pt idx="3">
                  <c:v>0.38</c:v>
                </c:pt>
                <c:pt idx="4">
                  <c:v>0.25</c:v>
                </c:pt>
              </c:numCache>
            </c:numRef>
          </c:val>
        </c:ser>
        <c:ser>
          <c:idx val="0"/>
          <c:order val="2"/>
          <c:tx>
            <c:strRef>
              <c:f>Sheet1!$A$4</c:f>
              <c:strCache>
                <c:ptCount val="1"/>
                <c:pt idx="0">
                  <c:v>2010</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Sheet1!$B$4:$F$4</c:f>
              <c:numCache>
                <c:formatCode>0%</c:formatCode>
                <c:ptCount val="5"/>
                <c:pt idx="0">
                  <c:v>0.15</c:v>
                </c:pt>
                <c:pt idx="1">
                  <c:v>0.23</c:v>
                </c:pt>
                <c:pt idx="2">
                  <c:v>0.38</c:v>
                </c:pt>
                <c:pt idx="3">
                  <c:v>0.46</c:v>
                </c:pt>
                <c:pt idx="4">
                  <c:v>0.25</c:v>
                </c:pt>
              </c:numCache>
            </c:numRef>
          </c:val>
        </c:ser>
        <c:ser>
          <c:idx val="1"/>
          <c:order val="3"/>
          <c:tx>
            <c:strRef>
              <c:f>Sheet1!$A$5</c:f>
              <c:strCache>
                <c:ptCount val="1"/>
                <c:pt idx="0">
                  <c:v>2011</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Sheet1!$B$5:$F$5</c:f>
              <c:numCache>
                <c:formatCode>0%</c:formatCode>
                <c:ptCount val="5"/>
                <c:pt idx="0">
                  <c:v>0.41</c:v>
                </c:pt>
                <c:pt idx="1">
                  <c:v>0.39</c:v>
                </c:pt>
                <c:pt idx="2">
                  <c:v>0.49</c:v>
                </c:pt>
                <c:pt idx="3">
                  <c:v>0.4</c:v>
                </c:pt>
                <c:pt idx="4">
                  <c:v>0.42</c:v>
                </c:pt>
              </c:numCache>
            </c:numRef>
          </c:val>
        </c:ser>
        <c:ser>
          <c:idx val="4"/>
          <c:order val="4"/>
          <c:tx>
            <c:strRef>
              <c:f>Sheet1!$A$6</c:f>
              <c:strCache>
                <c:ptCount val="1"/>
                <c:pt idx="0">
                  <c:v>2012</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Sheet1!$B$6:$F$6</c:f>
              <c:numCache>
                <c:formatCode>0%</c:formatCode>
                <c:ptCount val="5"/>
                <c:pt idx="0">
                  <c:v>0.14000000000000001</c:v>
                </c:pt>
                <c:pt idx="1">
                  <c:v>0.34</c:v>
                </c:pt>
                <c:pt idx="2">
                  <c:v>0.38</c:v>
                </c:pt>
                <c:pt idx="3">
                  <c:v>0.45</c:v>
                </c:pt>
                <c:pt idx="4">
                  <c:v>0.28999999999999998</c:v>
                </c:pt>
              </c:numCache>
            </c:numRef>
          </c:val>
        </c:ser>
        <c:ser>
          <c:idx val="5"/>
          <c:order val="5"/>
          <c:tx>
            <c:strRef>
              <c:f>Sheet1!$A$7</c:f>
              <c:strCache>
                <c:ptCount val="1"/>
                <c:pt idx="0">
                  <c:v>2013</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Sheet1!$B$7:$F$7</c:f>
              <c:numCache>
                <c:formatCode>0%</c:formatCode>
                <c:ptCount val="5"/>
                <c:pt idx="0">
                  <c:v>0.14000000000000001</c:v>
                </c:pt>
                <c:pt idx="1">
                  <c:v>0.21</c:v>
                </c:pt>
                <c:pt idx="2">
                  <c:v>0.41</c:v>
                </c:pt>
                <c:pt idx="3">
                  <c:v>0.2</c:v>
                </c:pt>
                <c:pt idx="4">
                  <c:v>0.23</c:v>
                </c:pt>
              </c:numCache>
            </c:numRef>
          </c:val>
        </c:ser>
        <c:ser>
          <c:idx val="6"/>
          <c:order val="6"/>
          <c:tx>
            <c:strRef>
              <c:f>Sheet1!$A$8</c:f>
              <c:strCache>
                <c:ptCount val="1"/>
                <c:pt idx="0">
                  <c:v>2014</c:v>
                </c:pt>
              </c:strCache>
            </c:strRef>
          </c:tx>
          <c:invertIfNegative val="0"/>
          <c:cat>
            <c:strRef>
              <c:f>Sheet1!$B$1:$F$1</c:f>
              <c:strCache>
                <c:ptCount val="5"/>
                <c:pt idx="0">
                  <c:v>De 50 à 99 salariés</c:v>
                </c:pt>
                <c:pt idx="1">
                  <c:v>De 100 à 199 salariés</c:v>
                </c:pt>
                <c:pt idx="2">
                  <c:v>De 200 à 499 salariés</c:v>
                </c:pt>
                <c:pt idx="3">
                  <c:v>500 salariés et plus</c:v>
                </c:pt>
                <c:pt idx="4">
                  <c:v>Total</c:v>
                </c:pt>
              </c:strCache>
            </c:strRef>
          </c:cat>
          <c:val>
            <c:numRef>
              <c:f>Sheet1!$B$8:$F$8</c:f>
              <c:numCache>
                <c:formatCode>0%</c:formatCode>
                <c:ptCount val="5"/>
                <c:pt idx="0">
                  <c:v>0.21087529622788909</c:v>
                </c:pt>
                <c:pt idx="1">
                  <c:v>0.19981671314079064</c:v>
                </c:pt>
                <c:pt idx="2">
                  <c:v>0.2692377450576266</c:v>
                </c:pt>
                <c:pt idx="3">
                  <c:v>0.44558661785708426</c:v>
                </c:pt>
                <c:pt idx="4">
                  <c:v>0.23976868011394123</c:v>
                </c:pt>
              </c:numCache>
            </c:numRef>
          </c:val>
        </c:ser>
        <c:dLbls>
          <c:showLegendKey val="0"/>
          <c:showVal val="1"/>
          <c:showCatName val="0"/>
          <c:showSerName val="0"/>
          <c:showPercent val="0"/>
          <c:showBubbleSize val="0"/>
        </c:dLbls>
        <c:gapWidth val="150"/>
        <c:overlap val="-25"/>
        <c:axId val="120217984"/>
        <c:axId val="120219520"/>
      </c:barChart>
      <c:catAx>
        <c:axId val="120217984"/>
        <c:scaling>
          <c:orientation val="minMax"/>
        </c:scaling>
        <c:delete val="0"/>
        <c:axPos val="b"/>
        <c:numFmt formatCode="General" sourceLinked="1"/>
        <c:majorTickMark val="none"/>
        <c:minorTickMark val="none"/>
        <c:tickLblPos val="nextTo"/>
        <c:txPr>
          <a:bodyPr rot="0" vert="horz"/>
          <a:lstStyle/>
          <a:p>
            <a:pPr>
              <a:defRPr/>
            </a:pPr>
            <a:endParaRPr lang="fr-FR"/>
          </a:p>
        </c:txPr>
        <c:crossAx val="120219520"/>
        <c:crosses val="autoZero"/>
        <c:auto val="1"/>
        <c:lblAlgn val="ctr"/>
        <c:lblOffset val="100"/>
        <c:tickLblSkip val="1"/>
        <c:tickMarkSkip val="1"/>
        <c:noMultiLvlLbl val="0"/>
      </c:catAx>
      <c:valAx>
        <c:axId val="120219520"/>
        <c:scaling>
          <c:orientation val="minMax"/>
        </c:scaling>
        <c:delete val="1"/>
        <c:axPos val="l"/>
        <c:numFmt formatCode="0%" sourceLinked="1"/>
        <c:majorTickMark val="out"/>
        <c:minorTickMark val="none"/>
        <c:tickLblPos val="nextTo"/>
        <c:crossAx val="120217984"/>
        <c:crosses val="autoZero"/>
        <c:crossBetween val="between"/>
      </c:valAx>
    </c:plotArea>
    <c:legend>
      <c:legendPos val="b"/>
      <c:layout>
        <c:manualLayout>
          <c:xMode val="edge"/>
          <c:yMode val="edge"/>
          <c:x val="0.33514913927972317"/>
          <c:y val="0.87467416232564554"/>
          <c:w val="0.35694414344995867"/>
          <c:h val="8.1836486857053317E-2"/>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104352989442414E-2"/>
          <c:y val="3.3461781907486651E-2"/>
          <c:w val="0.97685185185185186"/>
          <c:h val="0.79902493053477974"/>
        </c:manualLayout>
      </c:layout>
      <c:barChart>
        <c:barDir val="col"/>
        <c:grouping val="clustered"/>
        <c:varyColors val="0"/>
        <c:ser>
          <c:idx val="2"/>
          <c:order val="0"/>
          <c:invertIfNegative val="0"/>
          <c:cat>
            <c:strRef>
              <c:f>Feuil1!$B$1:$J$1</c:f>
              <c:strCache>
                <c:ptCount val="9"/>
                <c:pt idx="0">
                  <c:v>2006</c:v>
                </c:pt>
                <c:pt idx="1">
                  <c:v>2007</c:v>
                </c:pt>
                <c:pt idx="2">
                  <c:v>2008</c:v>
                </c:pt>
                <c:pt idx="3">
                  <c:v>2009</c:v>
                </c:pt>
                <c:pt idx="4">
                  <c:v>2010</c:v>
                </c:pt>
                <c:pt idx="5">
                  <c:v>2011</c:v>
                </c:pt>
                <c:pt idx="6">
                  <c:v>2012</c:v>
                </c:pt>
                <c:pt idx="7">
                  <c:v>2013</c:v>
                </c:pt>
                <c:pt idx="8">
                  <c:v>2014</c:v>
                </c:pt>
              </c:strCache>
            </c:strRef>
          </c:cat>
          <c:val>
            <c:numRef>
              <c:f>Feuil1!$B$2:$J$2</c:f>
              <c:numCache>
                <c:formatCode>0%</c:formatCode>
                <c:ptCount val="9"/>
                <c:pt idx="0">
                  <c:v>0.68</c:v>
                </c:pt>
                <c:pt idx="1">
                  <c:v>0.76</c:v>
                </c:pt>
                <c:pt idx="2">
                  <c:v>0.73</c:v>
                </c:pt>
                <c:pt idx="3">
                  <c:v>0.61</c:v>
                </c:pt>
                <c:pt idx="4">
                  <c:v>0.73</c:v>
                </c:pt>
                <c:pt idx="5">
                  <c:v>0.72</c:v>
                </c:pt>
                <c:pt idx="6">
                  <c:v>0.72</c:v>
                </c:pt>
                <c:pt idx="7">
                  <c:v>0.71</c:v>
                </c:pt>
                <c:pt idx="8">
                  <c:v>0.74</c:v>
                </c:pt>
              </c:numCache>
            </c:numRef>
          </c:val>
        </c:ser>
        <c:dLbls>
          <c:showLegendKey val="0"/>
          <c:showVal val="1"/>
          <c:showCatName val="0"/>
          <c:showSerName val="0"/>
          <c:showPercent val="0"/>
          <c:showBubbleSize val="0"/>
        </c:dLbls>
        <c:gapWidth val="50"/>
        <c:overlap val="-65"/>
        <c:axId val="120359552"/>
        <c:axId val="120361344"/>
      </c:barChart>
      <c:catAx>
        <c:axId val="120359552"/>
        <c:scaling>
          <c:orientation val="minMax"/>
        </c:scaling>
        <c:delete val="0"/>
        <c:axPos val="b"/>
        <c:numFmt formatCode="General" sourceLinked="1"/>
        <c:majorTickMark val="none"/>
        <c:minorTickMark val="none"/>
        <c:tickLblPos val="nextTo"/>
        <c:txPr>
          <a:bodyPr rot="0" vert="horz"/>
          <a:lstStyle/>
          <a:p>
            <a:pPr>
              <a:defRPr/>
            </a:pPr>
            <a:endParaRPr lang="fr-FR"/>
          </a:p>
        </c:txPr>
        <c:crossAx val="120361344"/>
        <c:crosses val="autoZero"/>
        <c:auto val="1"/>
        <c:lblAlgn val="ctr"/>
        <c:lblOffset val="100"/>
        <c:tickLblSkip val="1"/>
        <c:tickMarkSkip val="1"/>
        <c:noMultiLvlLbl val="0"/>
      </c:catAx>
      <c:valAx>
        <c:axId val="120361344"/>
        <c:scaling>
          <c:orientation val="minMax"/>
        </c:scaling>
        <c:delete val="1"/>
        <c:axPos val="l"/>
        <c:numFmt formatCode="0%" sourceLinked="1"/>
        <c:majorTickMark val="out"/>
        <c:minorTickMark val="none"/>
        <c:tickLblPos val="nextTo"/>
        <c:crossAx val="120359552"/>
        <c:crosses val="autoZero"/>
        <c:crossBetween val="between"/>
      </c:valAx>
      <c:spPr>
        <a:noFill/>
        <a:ln w="25400">
          <a:noFill/>
        </a:ln>
      </c:spPr>
    </c:plotArea>
    <c:plotVisOnly val="1"/>
    <c:dispBlanksAs val="gap"/>
    <c:showDLblsOverMax val="0"/>
  </c:chart>
  <c:spPr>
    <a:ln>
      <a:solidFill>
        <a:sysClr val="window" lastClr="FFFFFF"/>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1667225944445846E-2"/>
          <c:y val="2.6431232364449574E-2"/>
          <c:w val="0.90833277405555413"/>
          <c:h val="0.12228738786297674"/>
        </c:manualLayout>
      </c:layout>
      <c:barChart>
        <c:barDir val="bar"/>
        <c:grouping val="percentStacked"/>
        <c:varyColors val="0"/>
        <c:ser>
          <c:idx val="0"/>
          <c:order val="0"/>
          <c:tx>
            <c:strRef>
              <c:f>Sheet1!$A$2</c:f>
              <c:strCache>
                <c:ptCount val="1"/>
                <c:pt idx="0">
                  <c:v>Hausse</c:v>
                </c:pt>
              </c:strCache>
            </c:strRef>
          </c:tx>
          <c:spPr>
            <a:solidFill>
              <a:schemeClr val="accent5">
                <a:lumMod val="60000"/>
                <a:lumOff val="40000"/>
              </a:schemeClr>
            </a:solidFill>
          </c:spPr>
          <c:invertIfNegative val="0"/>
          <c:cat>
            <c:strRef>
              <c:f>Sheet1!$B$1</c:f>
              <c:strCache>
                <c:ptCount val="1"/>
                <c:pt idx="0">
                  <c:v>COM</c:v>
                </c:pt>
              </c:strCache>
            </c:strRef>
          </c:cat>
          <c:val>
            <c:numRef>
              <c:f>Sheet1!$B$2</c:f>
              <c:numCache>
                <c:formatCode>0%</c:formatCode>
                <c:ptCount val="1"/>
                <c:pt idx="0">
                  <c:v>0.35897435897435892</c:v>
                </c:pt>
              </c:numCache>
            </c:numRef>
          </c:val>
        </c:ser>
        <c:ser>
          <c:idx val="1"/>
          <c:order val="1"/>
          <c:tx>
            <c:strRef>
              <c:f>Sheet1!$A$3</c:f>
              <c:strCache>
                <c:ptCount val="1"/>
                <c:pt idx="0">
                  <c:v>Stabilité</c:v>
                </c:pt>
              </c:strCache>
            </c:strRef>
          </c:tx>
          <c:spPr>
            <a:solidFill>
              <a:schemeClr val="accent2">
                <a:lumMod val="60000"/>
                <a:lumOff val="40000"/>
              </a:schemeClr>
            </a:solidFill>
          </c:spPr>
          <c:invertIfNegative val="0"/>
          <c:cat>
            <c:strRef>
              <c:f>Sheet1!$B$1</c:f>
              <c:strCache>
                <c:ptCount val="1"/>
                <c:pt idx="0">
                  <c:v>COM</c:v>
                </c:pt>
              </c:strCache>
            </c:strRef>
          </c:cat>
          <c:val>
            <c:numRef>
              <c:f>Sheet1!$B$3</c:f>
              <c:numCache>
                <c:formatCode>0%</c:formatCode>
                <c:ptCount val="1"/>
                <c:pt idx="0">
                  <c:v>0.33333333333333331</c:v>
                </c:pt>
              </c:numCache>
            </c:numRef>
          </c:val>
        </c:ser>
        <c:ser>
          <c:idx val="2"/>
          <c:order val="2"/>
          <c:tx>
            <c:strRef>
              <c:f>Sheet1!$A$4</c:f>
              <c:strCache>
                <c:ptCount val="1"/>
                <c:pt idx="0">
                  <c:v>Baisse</c:v>
                </c:pt>
              </c:strCache>
            </c:strRef>
          </c:tx>
          <c:spPr>
            <a:solidFill>
              <a:schemeClr val="accent3">
                <a:lumMod val="60000"/>
                <a:lumOff val="40000"/>
              </a:schemeClr>
            </a:solidFill>
          </c:spPr>
          <c:invertIfNegative val="0"/>
          <c:cat>
            <c:strRef>
              <c:f>Sheet1!$B$1</c:f>
              <c:strCache>
                <c:ptCount val="1"/>
                <c:pt idx="0">
                  <c:v>COM</c:v>
                </c:pt>
              </c:strCache>
            </c:strRef>
          </c:cat>
          <c:val>
            <c:numRef>
              <c:f>Sheet1!$B$4</c:f>
              <c:numCache>
                <c:formatCode>0%</c:formatCode>
                <c:ptCount val="1"/>
                <c:pt idx="0">
                  <c:v>0.10256410256410257</c:v>
                </c:pt>
              </c:numCache>
            </c:numRef>
          </c:val>
        </c:ser>
        <c:ser>
          <c:idx val="3"/>
          <c:order val="3"/>
          <c:tx>
            <c:strRef>
              <c:f>Sheet1!$A$5</c:f>
              <c:strCache>
                <c:ptCount val="1"/>
                <c:pt idx="0">
                  <c:v>Ne se prononce pas</c:v>
                </c:pt>
              </c:strCache>
            </c:strRef>
          </c:tx>
          <c:spPr>
            <a:solidFill>
              <a:schemeClr val="accent4">
                <a:lumMod val="60000"/>
                <a:lumOff val="40000"/>
              </a:schemeClr>
            </a:solidFill>
          </c:spPr>
          <c:invertIfNegative val="0"/>
          <c:cat>
            <c:strRef>
              <c:f>Sheet1!$B$1</c:f>
              <c:strCache>
                <c:ptCount val="1"/>
                <c:pt idx="0">
                  <c:v>COM</c:v>
                </c:pt>
              </c:strCache>
            </c:strRef>
          </c:cat>
          <c:val>
            <c:numRef>
              <c:f>Sheet1!$B$5</c:f>
              <c:numCache>
                <c:formatCode>0%</c:formatCode>
                <c:ptCount val="1"/>
                <c:pt idx="0">
                  <c:v>0.20512820512820515</c:v>
                </c:pt>
              </c:numCache>
            </c:numRef>
          </c:val>
        </c:ser>
        <c:dLbls>
          <c:showLegendKey val="0"/>
          <c:showVal val="1"/>
          <c:showCatName val="0"/>
          <c:showSerName val="0"/>
          <c:showPercent val="0"/>
          <c:showBubbleSize val="0"/>
        </c:dLbls>
        <c:gapWidth val="40"/>
        <c:overlap val="100"/>
        <c:axId val="87799296"/>
        <c:axId val="87800832"/>
      </c:barChart>
      <c:catAx>
        <c:axId val="87799296"/>
        <c:scaling>
          <c:orientation val="minMax"/>
        </c:scaling>
        <c:delete val="0"/>
        <c:axPos val="l"/>
        <c:numFmt formatCode="General" sourceLinked="1"/>
        <c:majorTickMark val="out"/>
        <c:minorTickMark val="none"/>
        <c:tickLblPos val="nextTo"/>
        <c:txPr>
          <a:bodyPr rot="0" vert="horz"/>
          <a:lstStyle/>
          <a:p>
            <a:pPr>
              <a:defRPr/>
            </a:pPr>
            <a:endParaRPr lang="fr-FR"/>
          </a:p>
        </c:txPr>
        <c:crossAx val="87800832"/>
        <c:crosses val="autoZero"/>
        <c:auto val="1"/>
        <c:lblAlgn val="ctr"/>
        <c:lblOffset val="100"/>
        <c:tickLblSkip val="1"/>
        <c:tickMarkSkip val="1"/>
        <c:noMultiLvlLbl val="0"/>
      </c:catAx>
      <c:valAx>
        <c:axId val="87800832"/>
        <c:scaling>
          <c:orientation val="minMax"/>
        </c:scaling>
        <c:delete val="1"/>
        <c:axPos val="b"/>
        <c:numFmt formatCode="0%" sourceLinked="1"/>
        <c:majorTickMark val="out"/>
        <c:minorTickMark val="none"/>
        <c:tickLblPos val="nextTo"/>
        <c:crossAx val="87799296"/>
        <c:crosses val="autoZero"/>
        <c:crossBetween val="between"/>
      </c:valAx>
    </c:plotArea>
    <c:legend>
      <c:legendPos val="b"/>
      <c:layout>
        <c:manualLayout>
          <c:xMode val="edge"/>
          <c:yMode val="edge"/>
          <c:x val="0.11205224729433032"/>
          <c:y val="0.46024602392041297"/>
          <c:w val="0.80743114564203489"/>
          <c:h val="0.10517056306182163"/>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104352989442414E-2"/>
          <c:y val="3.3461781907486651E-2"/>
          <c:w val="0.97685185185185186"/>
          <c:h val="0.79902493053477974"/>
        </c:manualLayout>
      </c:layout>
      <c:barChart>
        <c:barDir val="col"/>
        <c:grouping val="clustered"/>
        <c:varyColors val="0"/>
        <c:ser>
          <c:idx val="2"/>
          <c:order val="0"/>
          <c:invertIfNegative val="0"/>
          <c:cat>
            <c:strRef>
              <c:f>Feuil1!$B$1:$H$1</c:f>
              <c:strCache>
                <c:ptCount val="7"/>
                <c:pt idx="0">
                  <c:v>2008</c:v>
                </c:pt>
                <c:pt idx="1">
                  <c:v>2009</c:v>
                </c:pt>
                <c:pt idx="2">
                  <c:v>2010</c:v>
                </c:pt>
                <c:pt idx="3">
                  <c:v>2011</c:v>
                </c:pt>
                <c:pt idx="4">
                  <c:v>2012</c:v>
                </c:pt>
                <c:pt idx="5">
                  <c:v>2013</c:v>
                </c:pt>
                <c:pt idx="6">
                  <c:v>2014</c:v>
                </c:pt>
              </c:strCache>
            </c:strRef>
          </c:cat>
          <c:val>
            <c:numRef>
              <c:f>Feuil1!$B$2:$H$2</c:f>
              <c:numCache>
                <c:formatCode>0%</c:formatCode>
                <c:ptCount val="7"/>
                <c:pt idx="0">
                  <c:v>0.64</c:v>
                </c:pt>
                <c:pt idx="1">
                  <c:v>0.56000000000000005</c:v>
                </c:pt>
                <c:pt idx="2">
                  <c:v>0.57999999999999996</c:v>
                </c:pt>
                <c:pt idx="3">
                  <c:v>0.72</c:v>
                </c:pt>
                <c:pt idx="4">
                  <c:v>0.6</c:v>
                </c:pt>
                <c:pt idx="5">
                  <c:v>0.59</c:v>
                </c:pt>
                <c:pt idx="6">
                  <c:v>0.61</c:v>
                </c:pt>
              </c:numCache>
            </c:numRef>
          </c:val>
        </c:ser>
        <c:dLbls>
          <c:showLegendKey val="0"/>
          <c:showVal val="1"/>
          <c:showCatName val="0"/>
          <c:showSerName val="0"/>
          <c:showPercent val="0"/>
          <c:showBubbleSize val="0"/>
        </c:dLbls>
        <c:gapWidth val="50"/>
        <c:overlap val="-65"/>
        <c:axId val="122699776"/>
        <c:axId val="122701312"/>
      </c:barChart>
      <c:catAx>
        <c:axId val="122699776"/>
        <c:scaling>
          <c:orientation val="minMax"/>
        </c:scaling>
        <c:delete val="0"/>
        <c:axPos val="b"/>
        <c:numFmt formatCode="General" sourceLinked="1"/>
        <c:majorTickMark val="none"/>
        <c:minorTickMark val="none"/>
        <c:tickLblPos val="nextTo"/>
        <c:txPr>
          <a:bodyPr rot="0" vert="horz"/>
          <a:lstStyle/>
          <a:p>
            <a:pPr>
              <a:defRPr/>
            </a:pPr>
            <a:endParaRPr lang="fr-FR"/>
          </a:p>
        </c:txPr>
        <c:crossAx val="122701312"/>
        <c:crosses val="autoZero"/>
        <c:auto val="1"/>
        <c:lblAlgn val="ctr"/>
        <c:lblOffset val="100"/>
        <c:tickLblSkip val="1"/>
        <c:tickMarkSkip val="1"/>
        <c:noMultiLvlLbl val="0"/>
      </c:catAx>
      <c:valAx>
        <c:axId val="122701312"/>
        <c:scaling>
          <c:orientation val="minMax"/>
        </c:scaling>
        <c:delete val="1"/>
        <c:axPos val="l"/>
        <c:numFmt formatCode="0%" sourceLinked="1"/>
        <c:majorTickMark val="out"/>
        <c:minorTickMark val="none"/>
        <c:tickLblPos val="nextTo"/>
        <c:crossAx val="122699776"/>
        <c:crosses val="autoZero"/>
        <c:crossBetween val="between"/>
      </c:valAx>
      <c:spPr>
        <a:noFill/>
        <a:ln w="25400">
          <a:noFill/>
        </a:ln>
      </c:spPr>
    </c:plotArea>
    <c:plotVisOnly val="1"/>
    <c:dispBlanksAs val="gap"/>
    <c:showDLblsOverMax val="0"/>
  </c:chart>
  <c:spPr>
    <a:ln>
      <a:solidFill>
        <a:sysClr val="window" lastClr="FFFFFF"/>
      </a:solid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849343832020997"/>
          <c:y val="3.1272210376687988E-2"/>
          <c:w val="0.87015764266580076"/>
          <c:h val="0.9687277462410222"/>
        </c:manualLayout>
      </c:layout>
      <c:barChart>
        <c:barDir val="bar"/>
        <c:grouping val="clustered"/>
        <c:varyColors val="0"/>
        <c:ser>
          <c:idx val="2"/>
          <c:order val="0"/>
          <c:tx>
            <c:strRef>
              <c:f>Feuil1!$B$1</c:f>
              <c:strCache>
                <c:ptCount val="1"/>
                <c:pt idx="0">
                  <c:v>2012</c:v>
                </c:pt>
              </c:strCache>
            </c:strRef>
          </c:tx>
          <c:invertIfNegative val="0"/>
          <c:cat>
            <c:strRef>
              <c:f>Feuil1!$A$2:$A$8</c:f>
              <c:strCache>
                <c:ptCount val="7"/>
                <c:pt idx="0">
                  <c:v>IAA</c:v>
                </c:pt>
                <c:pt idx="1">
                  <c:v>PHAR</c:v>
                </c:pt>
                <c:pt idx="2">
                  <c:v>AUTO</c:v>
                </c:pt>
                <c:pt idx="3">
                  <c:v>IEM</c:v>
                </c:pt>
                <c:pt idx="4">
                  <c:v>CHIM</c:v>
                </c:pt>
                <c:pt idx="5">
                  <c:v>COM</c:v>
                </c:pt>
                <c:pt idx="6">
                  <c:v>TRP</c:v>
                </c:pt>
              </c:strCache>
            </c:strRef>
          </c:cat>
          <c:val>
            <c:numRef>
              <c:f>Feuil1!$B$2:$B$8</c:f>
              <c:numCache>
                <c:formatCode>0%</c:formatCode>
                <c:ptCount val="7"/>
                <c:pt idx="0">
                  <c:v>0.84</c:v>
                </c:pt>
                <c:pt idx="1">
                  <c:v>0.84</c:v>
                </c:pt>
                <c:pt idx="2">
                  <c:v>0.56999999999999995</c:v>
                </c:pt>
                <c:pt idx="3">
                  <c:v>0.68</c:v>
                </c:pt>
                <c:pt idx="4">
                  <c:v>0.68</c:v>
                </c:pt>
                <c:pt idx="5">
                  <c:v>0.72</c:v>
                </c:pt>
                <c:pt idx="6">
                  <c:v>0.57999999999999996</c:v>
                </c:pt>
              </c:numCache>
            </c:numRef>
          </c:val>
        </c:ser>
        <c:ser>
          <c:idx val="3"/>
          <c:order val="1"/>
          <c:tx>
            <c:strRef>
              <c:f>Feuil1!$C$1</c:f>
              <c:strCache>
                <c:ptCount val="1"/>
                <c:pt idx="0">
                  <c:v>2013</c:v>
                </c:pt>
              </c:strCache>
            </c:strRef>
          </c:tx>
          <c:spPr>
            <a:solidFill>
              <a:schemeClr val="accent2">
                <a:lumMod val="75000"/>
              </a:schemeClr>
            </a:solidFill>
          </c:spPr>
          <c:invertIfNegative val="0"/>
          <c:cat>
            <c:strRef>
              <c:f>Feuil1!$A$2:$A$8</c:f>
              <c:strCache>
                <c:ptCount val="7"/>
                <c:pt idx="0">
                  <c:v>IAA</c:v>
                </c:pt>
                <c:pt idx="1">
                  <c:v>PHAR</c:v>
                </c:pt>
                <c:pt idx="2">
                  <c:v>AUTO</c:v>
                </c:pt>
                <c:pt idx="3">
                  <c:v>IEM</c:v>
                </c:pt>
                <c:pt idx="4">
                  <c:v>CHIM</c:v>
                </c:pt>
                <c:pt idx="5">
                  <c:v>COM</c:v>
                </c:pt>
                <c:pt idx="6">
                  <c:v>TRP</c:v>
                </c:pt>
              </c:strCache>
            </c:strRef>
          </c:cat>
          <c:val>
            <c:numRef>
              <c:f>Feuil1!$C$2:$C$8</c:f>
              <c:numCache>
                <c:formatCode>0%</c:formatCode>
                <c:ptCount val="7"/>
                <c:pt idx="0">
                  <c:v>0.75</c:v>
                </c:pt>
                <c:pt idx="1">
                  <c:v>0.86</c:v>
                </c:pt>
                <c:pt idx="2">
                  <c:v>0.63</c:v>
                </c:pt>
                <c:pt idx="3">
                  <c:v>0.72</c:v>
                </c:pt>
                <c:pt idx="4">
                  <c:v>0.74</c:v>
                </c:pt>
                <c:pt idx="5">
                  <c:v>0.72</c:v>
                </c:pt>
                <c:pt idx="6">
                  <c:v>0.59</c:v>
                </c:pt>
              </c:numCache>
            </c:numRef>
          </c:val>
        </c:ser>
        <c:ser>
          <c:idx val="0"/>
          <c:order val="2"/>
          <c:tx>
            <c:strRef>
              <c:f>Feuil1!$D$1</c:f>
              <c:strCache>
                <c:ptCount val="1"/>
                <c:pt idx="0">
                  <c:v>2014</c:v>
                </c:pt>
              </c:strCache>
            </c:strRef>
          </c:tx>
          <c:invertIfNegative val="0"/>
          <c:cat>
            <c:strRef>
              <c:f>Feuil1!$A$2:$A$8</c:f>
              <c:strCache>
                <c:ptCount val="7"/>
                <c:pt idx="0">
                  <c:v>IAA</c:v>
                </c:pt>
                <c:pt idx="1">
                  <c:v>PHAR</c:v>
                </c:pt>
                <c:pt idx="2">
                  <c:v>AUTO</c:v>
                </c:pt>
                <c:pt idx="3">
                  <c:v>IEM</c:v>
                </c:pt>
                <c:pt idx="4">
                  <c:v>CHIM</c:v>
                </c:pt>
                <c:pt idx="5">
                  <c:v>COM</c:v>
                </c:pt>
                <c:pt idx="6">
                  <c:v>TRP</c:v>
                </c:pt>
              </c:strCache>
            </c:strRef>
          </c:cat>
          <c:val>
            <c:numRef>
              <c:f>Feuil1!$D$2:$D$8</c:f>
              <c:numCache>
                <c:formatCode>0%</c:formatCode>
                <c:ptCount val="7"/>
                <c:pt idx="0">
                  <c:v>0.81790237626150952</c:v>
                </c:pt>
                <c:pt idx="1">
                  <c:v>0.82729874331218112</c:v>
                </c:pt>
                <c:pt idx="2">
                  <c:v>0.74318225650916114</c:v>
                </c:pt>
                <c:pt idx="3">
                  <c:v>0.64365152919369784</c:v>
                </c:pt>
                <c:pt idx="4">
                  <c:v>0.67153667045908416</c:v>
                </c:pt>
                <c:pt idx="5">
                  <c:v>0.7714729736443352</c:v>
                </c:pt>
                <c:pt idx="6">
                  <c:v>0.78165554319614394</c:v>
                </c:pt>
              </c:numCache>
            </c:numRef>
          </c:val>
        </c:ser>
        <c:dLbls>
          <c:showLegendKey val="0"/>
          <c:showVal val="1"/>
          <c:showCatName val="0"/>
          <c:showSerName val="0"/>
          <c:showPercent val="0"/>
          <c:showBubbleSize val="0"/>
        </c:dLbls>
        <c:gapWidth val="60"/>
        <c:axId val="122769408"/>
        <c:axId val="122770944"/>
      </c:barChart>
      <c:catAx>
        <c:axId val="122769408"/>
        <c:scaling>
          <c:orientation val="maxMin"/>
        </c:scaling>
        <c:delete val="0"/>
        <c:axPos val="l"/>
        <c:numFmt formatCode="General" sourceLinked="1"/>
        <c:majorTickMark val="out"/>
        <c:minorTickMark val="none"/>
        <c:tickLblPos val="nextTo"/>
        <c:txPr>
          <a:bodyPr rot="0" vert="horz"/>
          <a:lstStyle/>
          <a:p>
            <a:pPr>
              <a:defRPr/>
            </a:pPr>
            <a:endParaRPr lang="fr-FR"/>
          </a:p>
        </c:txPr>
        <c:crossAx val="122770944"/>
        <c:crosses val="autoZero"/>
        <c:auto val="1"/>
        <c:lblAlgn val="ctr"/>
        <c:lblOffset val="100"/>
        <c:noMultiLvlLbl val="0"/>
      </c:catAx>
      <c:valAx>
        <c:axId val="122770944"/>
        <c:scaling>
          <c:orientation val="minMax"/>
        </c:scaling>
        <c:delete val="1"/>
        <c:axPos val="t"/>
        <c:numFmt formatCode="0%" sourceLinked="1"/>
        <c:majorTickMark val="out"/>
        <c:minorTickMark val="none"/>
        <c:tickLblPos val="nextTo"/>
        <c:crossAx val="12276940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9727358822415235E-2"/>
          <c:y val="3.1339031339031341E-2"/>
          <c:w val="0.87003209134940607"/>
          <c:h val="0.27108943183572642"/>
        </c:manualLayout>
      </c:layout>
      <c:barChart>
        <c:barDir val="bar"/>
        <c:grouping val="clustered"/>
        <c:varyColors val="0"/>
        <c:ser>
          <c:idx val="2"/>
          <c:order val="0"/>
          <c:tx>
            <c:strRef>
              <c:f>Feuil1!$B$1</c:f>
              <c:strCache>
                <c:ptCount val="1"/>
                <c:pt idx="0">
                  <c:v>2012</c:v>
                </c:pt>
              </c:strCache>
            </c:strRef>
          </c:tx>
          <c:invertIfNegative val="0"/>
          <c:cat>
            <c:strRef>
              <c:f>Feuil1!$A$2:$A$3</c:f>
              <c:strCache>
                <c:ptCount val="2"/>
                <c:pt idx="0">
                  <c:v>COM</c:v>
                </c:pt>
                <c:pt idx="1">
                  <c:v>TRP</c:v>
                </c:pt>
              </c:strCache>
            </c:strRef>
          </c:cat>
          <c:val>
            <c:numRef>
              <c:f>Feuil1!$B$2:$B$3</c:f>
              <c:numCache>
                <c:formatCode>0%</c:formatCode>
                <c:ptCount val="2"/>
                <c:pt idx="0">
                  <c:v>0.5</c:v>
                </c:pt>
                <c:pt idx="1">
                  <c:v>0.74</c:v>
                </c:pt>
              </c:numCache>
            </c:numRef>
          </c:val>
        </c:ser>
        <c:ser>
          <c:idx val="3"/>
          <c:order val="1"/>
          <c:tx>
            <c:strRef>
              <c:f>Feuil1!$C$1</c:f>
              <c:strCache>
                <c:ptCount val="1"/>
                <c:pt idx="0">
                  <c:v>2013</c:v>
                </c:pt>
              </c:strCache>
            </c:strRef>
          </c:tx>
          <c:spPr>
            <a:solidFill>
              <a:schemeClr val="accent2">
                <a:lumMod val="75000"/>
              </a:schemeClr>
            </a:solidFill>
          </c:spPr>
          <c:invertIfNegative val="0"/>
          <c:cat>
            <c:strRef>
              <c:f>Feuil1!$A$2:$A$3</c:f>
              <c:strCache>
                <c:ptCount val="2"/>
                <c:pt idx="0">
                  <c:v>COM</c:v>
                </c:pt>
                <c:pt idx="1">
                  <c:v>TRP</c:v>
                </c:pt>
              </c:strCache>
            </c:strRef>
          </c:cat>
          <c:val>
            <c:numRef>
              <c:f>Feuil1!$C$2:$C$3</c:f>
              <c:numCache>
                <c:formatCode>0%</c:formatCode>
                <c:ptCount val="2"/>
                <c:pt idx="0">
                  <c:v>0.55000000000000004</c:v>
                </c:pt>
                <c:pt idx="1">
                  <c:v>0.64</c:v>
                </c:pt>
              </c:numCache>
            </c:numRef>
          </c:val>
        </c:ser>
        <c:ser>
          <c:idx val="0"/>
          <c:order val="2"/>
          <c:tx>
            <c:strRef>
              <c:f>Feuil1!$D$1</c:f>
              <c:strCache>
                <c:ptCount val="1"/>
                <c:pt idx="0">
                  <c:v>2014</c:v>
                </c:pt>
              </c:strCache>
            </c:strRef>
          </c:tx>
          <c:invertIfNegative val="0"/>
          <c:cat>
            <c:strRef>
              <c:f>Feuil1!$A$2:$A$3</c:f>
              <c:strCache>
                <c:ptCount val="2"/>
                <c:pt idx="0">
                  <c:v>COM</c:v>
                </c:pt>
                <c:pt idx="1">
                  <c:v>TRP</c:v>
                </c:pt>
              </c:strCache>
            </c:strRef>
          </c:cat>
          <c:val>
            <c:numRef>
              <c:f>Feuil1!$D$2:$D$3</c:f>
              <c:numCache>
                <c:formatCode>0%</c:formatCode>
                <c:ptCount val="2"/>
                <c:pt idx="0">
                  <c:v>0.5641025641025641</c:v>
                </c:pt>
                <c:pt idx="1">
                  <c:v>0.67603390562574261</c:v>
                </c:pt>
              </c:numCache>
            </c:numRef>
          </c:val>
        </c:ser>
        <c:dLbls>
          <c:showLegendKey val="0"/>
          <c:showVal val="1"/>
          <c:showCatName val="0"/>
          <c:showSerName val="0"/>
          <c:showPercent val="0"/>
          <c:showBubbleSize val="0"/>
        </c:dLbls>
        <c:gapWidth val="60"/>
        <c:axId val="122896384"/>
        <c:axId val="122897920"/>
      </c:barChart>
      <c:catAx>
        <c:axId val="122896384"/>
        <c:scaling>
          <c:orientation val="maxMin"/>
        </c:scaling>
        <c:delete val="0"/>
        <c:axPos val="l"/>
        <c:numFmt formatCode="General" sourceLinked="1"/>
        <c:majorTickMark val="out"/>
        <c:minorTickMark val="none"/>
        <c:tickLblPos val="nextTo"/>
        <c:txPr>
          <a:bodyPr rot="0" vert="horz"/>
          <a:lstStyle/>
          <a:p>
            <a:pPr>
              <a:defRPr/>
            </a:pPr>
            <a:endParaRPr lang="fr-FR"/>
          </a:p>
        </c:txPr>
        <c:crossAx val="122897920"/>
        <c:crosses val="autoZero"/>
        <c:auto val="1"/>
        <c:lblAlgn val="ctr"/>
        <c:lblOffset val="100"/>
        <c:noMultiLvlLbl val="0"/>
      </c:catAx>
      <c:valAx>
        <c:axId val="122897920"/>
        <c:scaling>
          <c:orientation val="minMax"/>
        </c:scaling>
        <c:delete val="1"/>
        <c:axPos val="t"/>
        <c:numFmt formatCode="0%" sourceLinked="1"/>
        <c:majorTickMark val="out"/>
        <c:minorTickMark val="none"/>
        <c:tickLblPos val="nextTo"/>
        <c:crossAx val="122896384"/>
        <c:crosses val="autoZero"/>
        <c:crossBetween val="between"/>
      </c:valAx>
    </c:plotArea>
    <c:legend>
      <c:legendPos val="r"/>
      <c:layout>
        <c:manualLayout>
          <c:xMode val="edge"/>
          <c:yMode val="edge"/>
          <c:x val="0.43844814243580377"/>
          <c:y val="0.56311583294735212"/>
          <c:w val="0.10244532835457423"/>
          <c:h val="0.24640580841728268"/>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931838065696335"/>
          <c:y val="2.9943766071911047E-2"/>
          <c:w val="0.89040165433866225"/>
          <c:h val="0.96930599411114216"/>
        </c:manualLayout>
      </c:layout>
      <c:barChart>
        <c:barDir val="bar"/>
        <c:grouping val="percentStacked"/>
        <c:varyColors val="0"/>
        <c:ser>
          <c:idx val="0"/>
          <c:order val="0"/>
          <c:tx>
            <c:strRef>
              <c:f>Feuil1!$A$2</c:f>
              <c:strCache>
                <c:ptCount val="1"/>
                <c:pt idx="0">
                  <c:v>Augmentation</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Feuil1!$B$1:$I$1</c:f>
              <c:strCache>
                <c:ptCount val="8"/>
                <c:pt idx="0">
                  <c:v>IAA</c:v>
                </c:pt>
                <c:pt idx="1">
                  <c:v>PHAR</c:v>
                </c:pt>
                <c:pt idx="2">
                  <c:v>AUTO</c:v>
                </c:pt>
                <c:pt idx="3">
                  <c:v>IEM</c:v>
                </c:pt>
                <c:pt idx="4">
                  <c:v>CHIM</c:v>
                </c:pt>
                <c:pt idx="5">
                  <c:v>COM</c:v>
                </c:pt>
                <c:pt idx="6">
                  <c:v>TRP</c:v>
                </c:pt>
                <c:pt idx="7">
                  <c:v>Total</c:v>
                </c:pt>
              </c:strCache>
            </c:strRef>
          </c:cat>
          <c:val>
            <c:numRef>
              <c:f>Feuil1!$B$2:$I$2</c:f>
              <c:numCache>
                <c:formatCode>0%</c:formatCode>
                <c:ptCount val="8"/>
                <c:pt idx="0">
                  <c:v>9.154034819669489E-2</c:v>
                </c:pt>
                <c:pt idx="1">
                  <c:v>4.7405748413587169E-2</c:v>
                </c:pt>
                <c:pt idx="2">
                  <c:v>0</c:v>
                </c:pt>
                <c:pt idx="3">
                  <c:v>3.4136546184738971E-2</c:v>
                </c:pt>
                <c:pt idx="4">
                  <c:v>5.3669769187010559E-2</c:v>
                </c:pt>
                <c:pt idx="5">
                  <c:v>7.0384498348113347E-2</c:v>
                </c:pt>
                <c:pt idx="6">
                  <c:v>3.5177975528364838E-2</c:v>
                </c:pt>
                <c:pt idx="7">
                  <c:v>5.341311991342311E-2</c:v>
                </c:pt>
              </c:numCache>
            </c:numRef>
          </c:val>
        </c:ser>
        <c:ser>
          <c:idx val="1"/>
          <c:order val="1"/>
          <c:tx>
            <c:strRef>
              <c:f>Feuil1!$A$3</c:f>
              <c:strCache>
                <c:ptCount val="1"/>
                <c:pt idx="0">
                  <c:v>Stabilité</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Feuil1!$B$1:$I$1</c:f>
              <c:strCache>
                <c:ptCount val="8"/>
                <c:pt idx="0">
                  <c:v>IAA</c:v>
                </c:pt>
                <c:pt idx="1">
                  <c:v>PHAR</c:v>
                </c:pt>
                <c:pt idx="2">
                  <c:v>AUTO</c:v>
                </c:pt>
                <c:pt idx="3">
                  <c:v>IEM</c:v>
                </c:pt>
                <c:pt idx="4">
                  <c:v>CHIM</c:v>
                </c:pt>
                <c:pt idx="5">
                  <c:v>COM</c:v>
                </c:pt>
                <c:pt idx="6">
                  <c:v>TRP</c:v>
                </c:pt>
                <c:pt idx="7">
                  <c:v>Total</c:v>
                </c:pt>
              </c:strCache>
            </c:strRef>
          </c:cat>
          <c:val>
            <c:numRef>
              <c:f>Feuil1!$B$3:$I$3</c:f>
              <c:numCache>
                <c:formatCode>0%</c:formatCode>
                <c:ptCount val="8"/>
                <c:pt idx="0">
                  <c:v>0.66806923726428391</c:v>
                </c:pt>
                <c:pt idx="1">
                  <c:v>0.53799095848367962</c:v>
                </c:pt>
                <c:pt idx="2">
                  <c:v>0.7455351976856317</c:v>
                </c:pt>
                <c:pt idx="3">
                  <c:v>0.67732468334877949</c:v>
                </c:pt>
                <c:pt idx="4">
                  <c:v>0.78357197322714545</c:v>
                </c:pt>
                <c:pt idx="5">
                  <c:v>0.54797379958764947</c:v>
                </c:pt>
                <c:pt idx="6">
                  <c:v>0.57802651093807944</c:v>
                </c:pt>
                <c:pt idx="7">
                  <c:v>0.64107619851026676</c:v>
                </c:pt>
              </c:numCache>
            </c:numRef>
          </c:val>
        </c:ser>
        <c:ser>
          <c:idx val="2"/>
          <c:order val="2"/>
          <c:tx>
            <c:strRef>
              <c:f>Feuil1!$A$4</c:f>
              <c:strCache>
                <c:ptCount val="1"/>
                <c:pt idx="0">
                  <c:v>Diminution</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Feuil1!$B$1:$I$1</c:f>
              <c:strCache>
                <c:ptCount val="8"/>
                <c:pt idx="0">
                  <c:v>IAA</c:v>
                </c:pt>
                <c:pt idx="1">
                  <c:v>PHAR</c:v>
                </c:pt>
                <c:pt idx="2">
                  <c:v>AUTO</c:v>
                </c:pt>
                <c:pt idx="3">
                  <c:v>IEM</c:v>
                </c:pt>
                <c:pt idx="4">
                  <c:v>CHIM</c:v>
                </c:pt>
                <c:pt idx="5">
                  <c:v>COM</c:v>
                </c:pt>
                <c:pt idx="6">
                  <c:v>TRP</c:v>
                </c:pt>
                <c:pt idx="7">
                  <c:v>Total</c:v>
                </c:pt>
              </c:strCache>
            </c:strRef>
          </c:cat>
          <c:val>
            <c:numRef>
              <c:f>Feuil1!$B$4:$I$4</c:f>
              <c:numCache>
                <c:formatCode>0%</c:formatCode>
                <c:ptCount val="8"/>
                <c:pt idx="0">
                  <c:v>0.1545729296503289</c:v>
                </c:pt>
                <c:pt idx="1">
                  <c:v>0.28366720583965827</c:v>
                </c:pt>
                <c:pt idx="2">
                  <c:v>0.16185149469623911</c:v>
                </c:pt>
                <c:pt idx="3">
                  <c:v>0.20783132530120482</c:v>
                </c:pt>
                <c:pt idx="4">
                  <c:v>4.2586025344646027E-2</c:v>
                </c:pt>
                <c:pt idx="5">
                  <c:v>0.23221660208162562</c:v>
                </c:pt>
                <c:pt idx="6">
                  <c:v>0.23800519095291056</c:v>
                </c:pt>
                <c:pt idx="7">
                  <c:v>0.19000965795900385</c:v>
                </c:pt>
              </c:numCache>
            </c:numRef>
          </c:val>
        </c:ser>
        <c:ser>
          <c:idx val="3"/>
          <c:order val="3"/>
          <c:tx>
            <c:strRef>
              <c:f>Feuil1!$A$5</c:f>
              <c:strCache>
                <c:ptCount val="1"/>
                <c:pt idx="0">
                  <c:v>Ne se prononce pas</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Feuil1!$B$1:$I$1</c:f>
              <c:strCache>
                <c:ptCount val="8"/>
                <c:pt idx="0">
                  <c:v>IAA</c:v>
                </c:pt>
                <c:pt idx="1">
                  <c:v>PHAR</c:v>
                </c:pt>
                <c:pt idx="2">
                  <c:v>AUTO</c:v>
                </c:pt>
                <c:pt idx="3">
                  <c:v>IEM</c:v>
                </c:pt>
                <c:pt idx="4">
                  <c:v>CHIM</c:v>
                </c:pt>
                <c:pt idx="5">
                  <c:v>COM</c:v>
                </c:pt>
                <c:pt idx="6">
                  <c:v>TRP</c:v>
                </c:pt>
                <c:pt idx="7">
                  <c:v>Total</c:v>
                </c:pt>
              </c:strCache>
            </c:strRef>
          </c:cat>
          <c:val>
            <c:numRef>
              <c:f>Feuil1!$B$5:$I$5</c:f>
              <c:numCache>
                <c:formatCode>0%</c:formatCode>
                <c:ptCount val="8"/>
                <c:pt idx="0">
                  <c:v>8.5817484888692258E-2</c:v>
                </c:pt>
                <c:pt idx="1">
                  <c:v>0.13093608726307499</c:v>
                </c:pt>
                <c:pt idx="2">
                  <c:v>9.2613307618129179E-2</c:v>
                </c:pt>
                <c:pt idx="3">
                  <c:v>8.0707445165276531E-2</c:v>
                </c:pt>
                <c:pt idx="4">
                  <c:v>0.12017223224119775</c:v>
                </c:pt>
                <c:pt idx="5">
                  <c:v>0.14942509998261169</c:v>
                </c:pt>
                <c:pt idx="6">
                  <c:v>0.14879032258064515</c:v>
                </c:pt>
                <c:pt idx="7">
                  <c:v>0.11550102361730623</c:v>
                </c:pt>
              </c:numCache>
            </c:numRef>
          </c:val>
        </c:ser>
        <c:dLbls>
          <c:showLegendKey val="0"/>
          <c:showVal val="0"/>
          <c:showCatName val="0"/>
          <c:showSerName val="0"/>
          <c:showPercent val="0"/>
          <c:showBubbleSize val="0"/>
        </c:dLbls>
        <c:gapWidth val="35"/>
        <c:overlap val="100"/>
        <c:axId val="122979456"/>
        <c:axId val="122980992"/>
      </c:barChart>
      <c:catAx>
        <c:axId val="122979456"/>
        <c:scaling>
          <c:orientation val="minMax"/>
        </c:scaling>
        <c:delete val="0"/>
        <c:axPos val="l"/>
        <c:numFmt formatCode="General" sourceLinked="1"/>
        <c:majorTickMark val="out"/>
        <c:minorTickMark val="none"/>
        <c:tickLblPos val="nextTo"/>
        <c:crossAx val="122980992"/>
        <c:crosses val="autoZero"/>
        <c:auto val="1"/>
        <c:lblAlgn val="ctr"/>
        <c:lblOffset val="100"/>
        <c:noMultiLvlLbl val="0"/>
      </c:catAx>
      <c:valAx>
        <c:axId val="122980992"/>
        <c:scaling>
          <c:orientation val="minMax"/>
        </c:scaling>
        <c:delete val="1"/>
        <c:axPos val="b"/>
        <c:numFmt formatCode="0%" sourceLinked="1"/>
        <c:majorTickMark val="out"/>
        <c:minorTickMark val="none"/>
        <c:tickLblPos val="nextTo"/>
        <c:crossAx val="12297945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35472838622445"/>
          <c:y val="2.9943766071911047E-2"/>
          <c:w val="0.87091886241492533"/>
          <c:h val="0.35874680221934285"/>
        </c:manualLayout>
      </c:layout>
      <c:barChart>
        <c:barDir val="bar"/>
        <c:grouping val="percentStacked"/>
        <c:varyColors val="0"/>
        <c:ser>
          <c:idx val="0"/>
          <c:order val="0"/>
          <c:tx>
            <c:strRef>
              <c:f>Sheet1!$A$2</c:f>
              <c:strCache>
                <c:ptCount val="1"/>
                <c:pt idx="0">
                  <c:v>Augmentation</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Sheet1!$B$2:$D$2</c:f>
              <c:numCache>
                <c:formatCode>0%</c:formatCode>
                <c:ptCount val="3"/>
                <c:pt idx="0">
                  <c:v>0</c:v>
                </c:pt>
                <c:pt idx="1">
                  <c:v>6.7670877874959498E-2</c:v>
                </c:pt>
                <c:pt idx="2">
                  <c:v>2.8815117936456858E-2</c:v>
                </c:pt>
              </c:numCache>
            </c:numRef>
          </c:val>
        </c:ser>
        <c:ser>
          <c:idx val="1"/>
          <c:order val="1"/>
          <c:tx>
            <c:strRef>
              <c:f>Sheet1!$A$3</c:f>
              <c:strCache>
                <c:ptCount val="1"/>
                <c:pt idx="0">
                  <c:v>Stabilité</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Sheet1!$B$3:$D$3</c:f>
              <c:numCache>
                <c:formatCode>0%</c:formatCode>
                <c:ptCount val="3"/>
                <c:pt idx="0">
                  <c:v>0.71794871794871784</c:v>
                </c:pt>
                <c:pt idx="1">
                  <c:v>0.68232912212504071</c:v>
                </c:pt>
                <c:pt idx="2">
                  <c:v>0.70278144235337681</c:v>
                </c:pt>
              </c:numCache>
            </c:numRef>
          </c:val>
        </c:ser>
        <c:ser>
          <c:idx val="2"/>
          <c:order val="2"/>
          <c:tx>
            <c:strRef>
              <c:f>Sheet1!$A$4</c:f>
              <c:strCache>
                <c:ptCount val="1"/>
                <c:pt idx="0">
                  <c:v>Diminution</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Sheet1!$B$4:$D$4</c:f>
              <c:numCache>
                <c:formatCode>0%</c:formatCode>
                <c:ptCount val="3"/>
                <c:pt idx="0">
                  <c:v>0.15384615384615394</c:v>
                </c:pt>
                <c:pt idx="1">
                  <c:v>0.12342619587517543</c:v>
                </c:pt>
                <c:pt idx="2">
                  <c:v>0.14089294998532209</c:v>
                </c:pt>
              </c:numCache>
            </c:numRef>
          </c:val>
        </c:ser>
        <c:ser>
          <c:idx val="3"/>
          <c:order val="3"/>
          <c:tx>
            <c:strRef>
              <c:f>Sheet1!$A$5</c:f>
              <c:strCache>
                <c:ptCount val="1"/>
                <c:pt idx="0">
                  <c:v>Ne sait pas</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Sheet1!$B$1:$D$1</c:f>
              <c:strCache>
                <c:ptCount val="3"/>
                <c:pt idx="0">
                  <c:v>COM</c:v>
                </c:pt>
                <c:pt idx="1">
                  <c:v>TRP</c:v>
                </c:pt>
                <c:pt idx="2">
                  <c:v>Total</c:v>
                </c:pt>
              </c:strCache>
            </c:strRef>
          </c:cat>
          <c:val>
            <c:numRef>
              <c:f>Sheet1!$B$5:$D$5</c:f>
              <c:numCache>
                <c:formatCode>0%</c:formatCode>
                <c:ptCount val="3"/>
                <c:pt idx="0">
                  <c:v>0.12820512820512828</c:v>
                </c:pt>
                <c:pt idx="1">
                  <c:v>0.1265738041248245</c:v>
                </c:pt>
                <c:pt idx="2">
                  <c:v>0.12751048972484444</c:v>
                </c:pt>
              </c:numCache>
            </c:numRef>
          </c:val>
        </c:ser>
        <c:dLbls>
          <c:showLegendKey val="0"/>
          <c:showVal val="0"/>
          <c:showCatName val="0"/>
          <c:showSerName val="0"/>
          <c:showPercent val="0"/>
          <c:showBubbleSize val="0"/>
        </c:dLbls>
        <c:gapWidth val="35"/>
        <c:overlap val="100"/>
        <c:axId val="123017088"/>
        <c:axId val="123018624"/>
      </c:barChart>
      <c:catAx>
        <c:axId val="123017088"/>
        <c:scaling>
          <c:orientation val="minMax"/>
        </c:scaling>
        <c:delete val="0"/>
        <c:axPos val="l"/>
        <c:numFmt formatCode="General" sourceLinked="1"/>
        <c:majorTickMark val="out"/>
        <c:minorTickMark val="none"/>
        <c:tickLblPos val="nextTo"/>
        <c:crossAx val="123018624"/>
        <c:crosses val="autoZero"/>
        <c:auto val="1"/>
        <c:lblAlgn val="ctr"/>
        <c:lblOffset val="100"/>
        <c:noMultiLvlLbl val="0"/>
      </c:catAx>
      <c:valAx>
        <c:axId val="123018624"/>
        <c:scaling>
          <c:orientation val="minMax"/>
        </c:scaling>
        <c:delete val="1"/>
        <c:axPos val="b"/>
        <c:numFmt formatCode="0%" sourceLinked="1"/>
        <c:majorTickMark val="out"/>
        <c:minorTickMark val="none"/>
        <c:tickLblPos val="nextTo"/>
        <c:crossAx val="123017088"/>
        <c:crosses val="autoZero"/>
        <c:crossBetween val="between"/>
      </c:valAx>
    </c:plotArea>
    <c:legend>
      <c:legendPos val="b"/>
      <c:layout>
        <c:manualLayout>
          <c:xMode val="edge"/>
          <c:yMode val="edge"/>
          <c:x val="0.13044619422572179"/>
          <c:y val="0.6351631615668295"/>
          <c:w val="0.81414345934030985"/>
          <c:h val="6.1039370078740156E-2"/>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2"/>
          <c:order val="0"/>
          <c:tx>
            <c:strRef>
              <c:f>Sheet1!$A$2</c:f>
              <c:strCache>
                <c:ptCount val="1"/>
              </c:strCache>
            </c:strRef>
          </c:tx>
          <c:spPr>
            <a:solidFill>
              <a:srgbClr val="800000"/>
            </a:solidFill>
          </c:spPr>
          <c:invertIfNegative val="0"/>
          <c:cat>
            <c:strRef>
              <c:f>Sheet1!$B$1:$I$1</c:f>
              <c:strCache>
                <c:ptCount val="8"/>
                <c:pt idx="0">
                  <c:v>IAA</c:v>
                </c:pt>
                <c:pt idx="1">
                  <c:v>PHAR</c:v>
                </c:pt>
                <c:pt idx="2">
                  <c:v>AUTO</c:v>
                </c:pt>
                <c:pt idx="3">
                  <c:v>IEM</c:v>
                </c:pt>
                <c:pt idx="4">
                  <c:v>CHIM</c:v>
                </c:pt>
                <c:pt idx="5">
                  <c:v>COM</c:v>
                </c:pt>
                <c:pt idx="6">
                  <c:v>TRP</c:v>
                </c:pt>
                <c:pt idx="7">
                  <c:v>Total</c:v>
                </c:pt>
              </c:strCache>
            </c:strRef>
          </c:cat>
          <c:val>
            <c:numRef>
              <c:f>Sheet1!$B$2:$I$2</c:f>
              <c:numCache>
                <c:formatCode>0%</c:formatCode>
                <c:ptCount val="8"/>
                <c:pt idx="0">
                  <c:v>7.0139251872998035E-2</c:v>
                </c:pt>
                <c:pt idx="1">
                  <c:v>0.11851437103396792</c:v>
                </c:pt>
                <c:pt idx="2">
                  <c:v>4.9836065573770495E-2</c:v>
                </c:pt>
                <c:pt idx="3">
                  <c:v>5.9082483781279033E-2</c:v>
                </c:pt>
                <c:pt idx="4">
                  <c:v>0.10444945897532104</c:v>
                </c:pt>
                <c:pt idx="5">
                  <c:v>0.1674677695804456</c:v>
                </c:pt>
                <c:pt idx="6">
                  <c:v>6.0303114571746357E-2</c:v>
                </c:pt>
                <c:pt idx="7">
                  <c:v>9.1513428385136444E-2</c:v>
                </c:pt>
              </c:numCache>
            </c:numRef>
          </c:val>
        </c:ser>
        <c:dLbls>
          <c:showLegendKey val="0"/>
          <c:showVal val="1"/>
          <c:showCatName val="0"/>
          <c:showSerName val="0"/>
          <c:showPercent val="0"/>
          <c:showBubbleSize val="0"/>
        </c:dLbls>
        <c:gapWidth val="60"/>
        <c:overlap val="-25"/>
        <c:axId val="123162624"/>
        <c:axId val="123164160"/>
      </c:barChart>
      <c:catAx>
        <c:axId val="123162624"/>
        <c:scaling>
          <c:orientation val="minMax"/>
        </c:scaling>
        <c:delete val="0"/>
        <c:axPos val="b"/>
        <c:numFmt formatCode="General" sourceLinked="1"/>
        <c:majorTickMark val="none"/>
        <c:minorTickMark val="none"/>
        <c:tickLblPos val="nextTo"/>
        <c:txPr>
          <a:bodyPr rot="0" vert="horz"/>
          <a:lstStyle/>
          <a:p>
            <a:pPr>
              <a:defRPr/>
            </a:pPr>
            <a:endParaRPr lang="fr-FR"/>
          </a:p>
        </c:txPr>
        <c:crossAx val="123164160"/>
        <c:crosses val="autoZero"/>
        <c:auto val="1"/>
        <c:lblAlgn val="ctr"/>
        <c:lblOffset val="100"/>
        <c:tickLblSkip val="1"/>
        <c:tickMarkSkip val="1"/>
        <c:noMultiLvlLbl val="0"/>
      </c:catAx>
      <c:valAx>
        <c:axId val="123164160"/>
        <c:scaling>
          <c:orientation val="minMax"/>
        </c:scaling>
        <c:delete val="1"/>
        <c:axPos val="l"/>
        <c:numFmt formatCode="0%" sourceLinked="1"/>
        <c:majorTickMark val="out"/>
        <c:minorTickMark val="none"/>
        <c:tickLblPos val="nextTo"/>
        <c:crossAx val="123162624"/>
        <c:crosses val="autoZero"/>
        <c:crossBetween val="between"/>
      </c:valAx>
    </c:plotArea>
    <c:plotVisOnly val="1"/>
    <c:dispBlanksAs val="gap"/>
    <c:showDLblsOverMax val="0"/>
  </c:chart>
  <c:spPr>
    <a:ln>
      <a:solidFill>
        <a:schemeClr val="bg1"/>
      </a:solidFill>
    </a:ln>
  </c:spPr>
  <c:txPr>
    <a:bodyPr/>
    <a:lstStyle/>
    <a:p>
      <a:pPr>
        <a:defRPr sz="1050"/>
      </a:pPr>
      <a:endParaRPr lang="fr-F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8.4811102544333078E-2"/>
          <c:y val="0.56958624395486301"/>
          <c:w val="0.8303777949113339"/>
          <c:h val="0.16118711917814826"/>
        </c:manualLayout>
      </c:layout>
      <c:barChart>
        <c:barDir val="col"/>
        <c:grouping val="clustered"/>
        <c:varyColors val="0"/>
        <c:ser>
          <c:idx val="2"/>
          <c:order val="0"/>
          <c:spPr>
            <a:solidFill>
              <a:srgbClr val="800000"/>
            </a:solidFill>
          </c:spPr>
          <c:invertIfNegative val="0"/>
          <c:cat>
            <c:strRef>
              <c:f>Sheet1!$G$1:$I$1</c:f>
              <c:strCache>
                <c:ptCount val="3"/>
                <c:pt idx="0">
                  <c:v>COM</c:v>
                </c:pt>
                <c:pt idx="1">
                  <c:v>TRP</c:v>
                </c:pt>
                <c:pt idx="2">
                  <c:v>Total</c:v>
                </c:pt>
              </c:strCache>
            </c:strRef>
          </c:cat>
          <c:val>
            <c:numRef>
              <c:f>Sheet1!$G$2:$I$2</c:f>
              <c:numCache>
                <c:formatCode>0%</c:formatCode>
                <c:ptCount val="3"/>
                <c:pt idx="0">
                  <c:v>5.1282051282051315E-2</c:v>
                </c:pt>
                <c:pt idx="1">
                  <c:v>1.7535903250188958E-2</c:v>
                </c:pt>
                <c:pt idx="2">
                  <c:v>3.6912513513736568E-2</c:v>
                </c:pt>
              </c:numCache>
            </c:numRef>
          </c:val>
        </c:ser>
        <c:dLbls>
          <c:showLegendKey val="0"/>
          <c:showVal val="1"/>
          <c:showCatName val="0"/>
          <c:showSerName val="0"/>
          <c:showPercent val="0"/>
          <c:showBubbleSize val="0"/>
        </c:dLbls>
        <c:gapWidth val="60"/>
        <c:overlap val="-25"/>
        <c:axId val="123184640"/>
        <c:axId val="123186176"/>
      </c:barChart>
      <c:catAx>
        <c:axId val="123184640"/>
        <c:scaling>
          <c:orientation val="minMax"/>
        </c:scaling>
        <c:delete val="0"/>
        <c:axPos val="b"/>
        <c:numFmt formatCode="General" sourceLinked="1"/>
        <c:majorTickMark val="none"/>
        <c:minorTickMark val="none"/>
        <c:tickLblPos val="nextTo"/>
        <c:txPr>
          <a:bodyPr rot="0" vert="horz"/>
          <a:lstStyle/>
          <a:p>
            <a:pPr>
              <a:defRPr/>
            </a:pPr>
            <a:endParaRPr lang="fr-FR"/>
          </a:p>
        </c:txPr>
        <c:crossAx val="123186176"/>
        <c:crosses val="autoZero"/>
        <c:auto val="1"/>
        <c:lblAlgn val="ctr"/>
        <c:lblOffset val="100"/>
        <c:tickLblSkip val="1"/>
        <c:tickMarkSkip val="1"/>
        <c:noMultiLvlLbl val="0"/>
      </c:catAx>
      <c:valAx>
        <c:axId val="123186176"/>
        <c:scaling>
          <c:orientation val="minMax"/>
        </c:scaling>
        <c:delete val="1"/>
        <c:axPos val="l"/>
        <c:numFmt formatCode="0%" sourceLinked="1"/>
        <c:majorTickMark val="out"/>
        <c:minorTickMark val="none"/>
        <c:tickLblPos val="nextTo"/>
        <c:crossAx val="123184640"/>
        <c:crosses val="autoZero"/>
        <c:crossBetween val="between"/>
      </c:valAx>
    </c:plotArea>
    <c:plotVisOnly val="1"/>
    <c:dispBlanksAs val="gap"/>
    <c:showDLblsOverMax val="0"/>
  </c:chart>
  <c:spPr>
    <a:ln>
      <a:solidFill>
        <a:schemeClr val="bg1"/>
      </a:solidFill>
    </a:ln>
  </c:spPr>
  <c:txPr>
    <a:bodyPr/>
    <a:lstStyle/>
    <a:p>
      <a:pPr>
        <a:defRPr sz="1050"/>
      </a:pPr>
      <a:endParaRPr lang="fr-F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TRP</c:v>
                </c:pt>
              </c:strCache>
            </c:strRef>
          </c:tx>
          <c:dPt>
            <c:idx val="0"/>
            <c:bubble3D val="0"/>
          </c:dPt>
          <c:dPt>
            <c:idx val="1"/>
            <c:bubble3D val="0"/>
          </c:dPt>
          <c:dPt>
            <c:idx val="2"/>
            <c:bubble3D val="0"/>
          </c:dPt>
          <c:dLbls>
            <c:txPr>
              <a:bodyPr/>
              <a:lstStyle/>
              <a:p>
                <a:pPr>
                  <a:defRPr sz="1000"/>
                </a:pPr>
                <a:endParaRPr lang="fr-FR"/>
              </a:p>
            </c:txPr>
            <c:dLblPos val="outEnd"/>
            <c:showLegendKey val="0"/>
            <c:showVal val="0"/>
            <c:showCatName val="0"/>
            <c:showSerName val="0"/>
            <c:showPercent val="1"/>
            <c:showBubbleSize val="0"/>
            <c:showLeaderLines val="0"/>
          </c:dLbls>
          <c:cat>
            <c:strRef>
              <c:f>Sheet1!$A$2:$A$4</c:f>
              <c:strCache>
                <c:ptCount val="3"/>
                <c:pt idx="0">
                  <c:v>Oui</c:v>
                </c:pt>
                <c:pt idx="1">
                  <c:v>Non</c:v>
                </c:pt>
                <c:pt idx="2">
                  <c:v>Ne se prononce pas</c:v>
                </c:pt>
              </c:strCache>
            </c:strRef>
          </c:cat>
          <c:val>
            <c:numRef>
              <c:f>Sheet1!$B$2:$B$4</c:f>
              <c:numCache>
                <c:formatCode>0%</c:formatCode>
                <c:ptCount val="3"/>
                <c:pt idx="0">
                  <c:v>0.47</c:v>
                </c:pt>
                <c:pt idx="1">
                  <c:v>0.53</c:v>
                </c:pt>
                <c:pt idx="2">
                  <c:v>0.01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2871806865725943"/>
          <c:y val="4.060913705583756E-2"/>
          <c:w val="0.79866947324653725"/>
          <c:h val="0.12238858467564651"/>
        </c:manualLayout>
      </c:layout>
      <c:overlay val="0"/>
      <c:spPr>
        <a:ln>
          <a:solidFill>
            <a:sysClr val="window" lastClr="FFFFFF">
              <a:lumMod val="50000"/>
            </a:sysClr>
          </a:solidFill>
        </a:ln>
      </c:spPr>
    </c:legend>
    <c:plotVisOnly val="1"/>
    <c:dispBlanksAs val="zero"/>
    <c:showDLblsOverMax val="0"/>
  </c:chart>
  <c:spPr>
    <a:ln>
      <a:solidFill>
        <a:schemeClr val="bg1"/>
      </a:solid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2"/>
          <c:order val="0"/>
          <c:tx>
            <c:strRef>
              <c:f>Sheet1!$B$1</c:f>
              <c:strCache>
                <c:ptCount val="1"/>
                <c:pt idx="0">
                  <c:v>2008</c:v>
                </c:pt>
              </c:strCache>
            </c:strRef>
          </c:tx>
          <c:invertIfNegative val="0"/>
          <c:cat>
            <c:strRef>
              <c:f>Sheet1!$A$2:$A$4</c:f>
              <c:strCache>
                <c:ptCount val="3"/>
                <c:pt idx="0">
                  <c:v>      Cadres</c:v>
                </c:pt>
                <c:pt idx="1">
                  <c:v>Techniciens/Agents de maîtrise</c:v>
                </c:pt>
                <c:pt idx="2">
                  <c:v>Opérateurs</c:v>
                </c:pt>
              </c:strCache>
            </c:strRef>
          </c:cat>
          <c:val>
            <c:numRef>
              <c:f>Sheet1!$B$2:$B$4</c:f>
              <c:numCache>
                <c:formatCode>0%</c:formatCode>
                <c:ptCount val="3"/>
                <c:pt idx="0">
                  <c:v>0.48</c:v>
                </c:pt>
                <c:pt idx="1">
                  <c:v>0.48</c:v>
                </c:pt>
                <c:pt idx="2">
                  <c:v>0.38</c:v>
                </c:pt>
              </c:numCache>
            </c:numRef>
          </c:val>
        </c:ser>
        <c:ser>
          <c:idx val="3"/>
          <c:order val="1"/>
          <c:tx>
            <c:strRef>
              <c:f>Sheet1!$C$1</c:f>
              <c:strCache>
                <c:ptCount val="1"/>
                <c:pt idx="0">
                  <c:v>2009</c:v>
                </c:pt>
              </c:strCache>
            </c:strRef>
          </c:tx>
          <c:invertIfNegative val="0"/>
          <c:cat>
            <c:strRef>
              <c:f>Sheet1!$A$2:$A$4</c:f>
              <c:strCache>
                <c:ptCount val="3"/>
                <c:pt idx="0">
                  <c:v>      Cadres</c:v>
                </c:pt>
                <c:pt idx="1">
                  <c:v>Techniciens/Agents de maîtrise</c:v>
                </c:pt>
                <c:pt idx="2">
                  <c:v>Opérateurs</c:v>
                </c:pt>
              </c:strCache>
            </c:strRef>
          </c:cat>
          <c:val>
            <c:numRef>
              <c:f>Sheet1!$C$2:$C$4</c:f>
              <c:numCache>
                <c:formatCode>0%</c:formatCode>
                <c:ptCount val="3"/>
                <c:pt idx="0">
                  <c:v>0.75</c:v>
                </c:pt>
                <c:pt idx="1">
                  <c:v>0.72</c:v>
                </c:pt>
                <c:pt idx="2">
                  <c:v>0.54</c:v>
                </c:pt>
              </c:numCache>
            </c:numRef>
          </c:val>
        </c:ser>
        <c:ser>
          <c:idx val="0"/>
          <c:order val="2"/>
          <c:tx>
            <c:strRef>
              <c:f>Sheet1!$D$1</c:f>
              <c:strCache>
                <c:ptCount val="1"/>
                <c:pt idx="0">
                  <c:v>2010</c:v>
                </c:pt>
              </c:strCache>
            </c:strRef>
          </c:tx>
          <c:invertIfNegative val="0"/>
          <c:cat>
            <c:strRef>
              <c:f>Sheet1!$A$2:$A$4</c:f>
              <c:strCache>
                <c:ptCount val="3"/>
                <c:pt idx="0">
                  <c:v>      Cadres</c:v>
                </c:pt>
                <c:pt idx="1">
                  <c:v>Techniciens/Agents de maîtrise</c:v>
                </c:pt>
                <c:pt idx="2">
                  <c:v>Opérateurs</c:v>
                </c:pt>
              </c:strCache>
            </c:strRef>
          </c:cat>
          <c:val>
            <c:numRef>
              <c:f>Sheet1!$D$2:$D$4</c:f>
              <c:numCache>
                <c:formatCode>0%</c:formatCode>
                <c:ptCount val="3"/>
                <c:pt idx="0">
                  <c:v>0.77</c:v>
                </c:pt>
                <c:pt idx="1">
                  <c:v>0.67</c:v>
                </c:pt>
                <c:pt idx="2">
                  <c:v>0.42</c:v>
                </c:pt>
              </c:numCache>
            </c:numRef>
          </c:val>
        </c:ser>
        <c:ser>
          <c:idx val="1"/>
          <c:order val="3"/>
          <c:tx>
            <c:strRef>
              <c:f>Sheet1!$E$1</c:f>
              <c:strCache>
                <c:ptCount val="1"/>
                <c:pt idx="0">
                  <c:v>2011</c:v>
                </c:pt>
              </c:strCache>
            </c:strRef>
          </c:tx>
          <c:invertIfNegative val="0"/>
          <c:cat>
            <c:strRef>
              <c:f>Sheet1!$A$2:$A$4</c:f>
              <c:strCache>
                <c:ptCount val="3"/>
                <c:pt idx="0">
                  <c:v>      Cadres</c:v>
                </c:pt>
                <c:pt idx="1">
                  <c:v>Techniciens/Agents de maîtrise</c:v>
                </c:pt>
                <c:pt idx="2">
                  <c:v>Opérateurs</c:v>
                </c:pt>
              </c:strCache>
            </c:strRef>
          </c:cat>
          <c:val>
            <c:numRef>
              <c:f>Sheet1!$E$2:$E$4</c:f>
              <c:numCache>
                <c:formatCode>0%</c:formatCode>
                <c:ptCount val="3"/>
                <c:pt idx="0">
                  <c:v>0.56000000000000005</c:v>
                </c:pt>
                <c:pt idx="1">
                  <c:v>0.56999999999999995</c:v>
                </c:pt>
                <c:pt idx="2">
                  <c:v>0.43</c:v>
                </c:pt>
              </c:numCache>
            </c:numRef>
          </c:val>
        </c:ser>
        <c:ser>
          <c:idx val="4"/>
          <c:order val="4"/>
          <c:tx>
            <c:strRef>
              <c:f>Sheet1!$F$1</c:f>
              <c:strCache>
                <c:ptCount val="1"/>
                <c:pt idx="0">
                  <c:v>2012</c:v>
                </c:pt>
              </c:strCache>
            </c:strRef>
          </c:tx>
          <c:invertIfNegative val="0"/>
          <c:cat>
            <c:strRef>
              <c:f>Sheet1!$A$2:$A$4</c:f>
              <c:strCache>
                <c:ptCount val="3"/>
                <c:pt idx="0">
                  <c:v>      Cadres</c:v>
                </c:pt>
                <c:pt idx="1">
                  <c:v>Techniciens/Agents de maîtrise</c:v>
                </c:pt>
                <c:pt idx="2">
                  <c:v>Opérateurs</c:v>
                </c:pt>
              </c:strCache>
            </c:strRef>
          </c:cat>
          <c:val>
            <c:numRef>
              <c:f>Sheet1!$F$2:$F$4</c:f>
              <c:numCache>
                <c:formatCode>0%</c:formatCode>
                <c:ptCount val="3"/>
                <c:pt idx="0">
                  <c:v>0.56999999999999995</c:v>
                </c:pt>
                <c:pt idx="1">
                  <c:v>0.6</c:v>
                </c:pt>
                <c:pt idx="2">
                  <c:v>0.4</c:v>
                </c:pt>
              </c:numCache>
            </c:numRef>
          </c:val>
        </c:ser>
        <c:ser>
          <c:idx val="5"/>
          <c:order val="5"/>
          <c:tx>
            <c:strRef>
              <c:f>Sheet1!$G$1</c:f>
              <c:strCache>
                <c:ptCount val="1"/>
                <c:pt idx="0">
                  <c:v>2013</c:v>
                </c:pt>
              </c:strCache>
            </c:strRef>
          </c:tx>
          <c:invertIfNegative val="0"/>
          <c:cat>
            <c:strRef>
              <c:f>Sheet1!$A$2:$A$4</c:f>
              <c:strCache>
                <c:ptCount val="3"/>
                <c:pt idx="0">
                  <c:v>      Cadres</c:v>
                </c:pt>
                <c:pt idx="1">
                  <c:v>Techniciens/Agents de maîtrise</c:v>
                </c:pt>
                <c:pt idx="2">
                  <c:v>Opérateurs</c:v>
                </c:pt>
              </c:strCache>
            </c:strRef>
          </c:cat>
          <c:val>
            <c:numRef>
              <c:f>Sheet1!$G$2:$G$4</c:f>
              <c:numCache>
                <c:formatCode>0%</c:formatCode>
                <c:ptCount val="3"/>
                <c:pt idx="0">
                  <c:v>0.62</c:v>
                </c:pt>
                <c:pt idx="1">
                  <c:v>0.66</c:v>
                </c:pt>
                <c:pt idx="2">
                  <c:v>0.53</c:v>
                </c:pt>
              </c:numCache>
            </c:numRef>
          </c:val>
        </c:ser>
        <c:ser>
          <c:idx val="6"/>
          <c:order val="6"/>
          <c:tx>
            <c:strRef>
              <c:f>Sheet1!$H$1</c:f>
              <c:strCache>
                <c:ptCount val="1"/>
                <c:pt idx="0">
                  <c:v>2014</c:v>
                </c:pt>
              </c:strCache>
            </c:strRef>
          </c:tx>
          <c:invertIfNegative val="0"/>
          <c:cat>
            <c:strRef>
              <c:f>Sheet1!$A$2:$A$4</c:f>
              <c:strCache>
                <c:ptCount val="3"/>
                <c:pt idx="0">
                  <c:v>      Cadres</c:v>
                </c:pt>
                <c:pt idx="1">
                  <c:v>Techniciens/Agents de maîtrise</c:v>
                </c:pt>
                <c:pt idx="2">
                  <c:v>Opérateurs</c:v>
                </c:pt>
              </c:strCache>
            </c:strRef>
          </c:cat>
          <c:val>
            <c:numRef>
              <c:f>Sheet1!$H$2:$H$4</c:f>
              <c:numCache>
                <c:formatCode>0%</c:formatCode>
                <c:ptCount val="3"/>
                <c:pt idx="0">
                  <c:v>0.58134860565064883</c:v>
                </c:pt>
                <c:pt idx="1">
                  <c:v>0.66886114667178287</c:v>
                </c:pt>
                <c:pt idx="2">
                  <c:v>0.47427579060417735</c:v>
                </c:pt>
              </c:numCache>
            </c:numRef>
          </c:val>
        </c:ser>
        <c:dLbls>
          <c:showLegendKey val="0"/>
          <c:showVal val="1"/>
          <c:showCatName val="0"/>
          <c:showSerName val="0"/>
          <c:showPercent val="0"/>
          <c:showBubbleSize val="0"/>
        </c:dLbls>
        <c:gapWidth val="150"/>
        <c:overlap val="-25"/>
        <c:axId val="123314560"/>
        <c:axId val="123316096"/>
      </c:barChart>
      <c:catAx>
        <c:axId val="123314560"/>
        <c:scaling>
          <c:orientation val="minMax"/>
        </c:scaling>
        <c:delete val="0"/>
        <c:axPos val="b"/>
        <c:numFmt formatCode="General" sourceLinked="1"/>
        <c:majorTickMark val="none"/>
        <c:minorTickMark val="none"/>
        <c:tickLblPos val="nextTo"/>
        <c:txPr>
          <a:bodyPr rot="0" vert="horz"/>
          <a:lstStyle/>
          <a:p>
            <a:pPr>
              <a:defRPr/>
            </a:pPr>
            <a:endParaRPr lang="fr-FR"/>
          </a:p>
        </c:txPr>
        <c:crossAx val="123316096"/>
        <c:crosses val="autoZero"/>
        <c:auto val="1"/>
        <c:lblAlgn val="ctr"/>
        <c:lblOffset val="100"/>
        <c:tickLblSkip val="1"/>
        <c:tickMarkSkip val="1"/>
        <c:noMultiLvlLbl val="0"/>
      </c:catAx>
      <c:valAx>
        <c:axId val="123316096"/>
        <c:scaling>
          <c:orientation val="minMax"/>
        </c:scaling>
        <c:delete val="1"/>
        <c:axPos val="l"/>
        <c:numFmt formatCode="0%" sourceLinked="1"/>
        <c:majorTickMark val="out"/>
        <c:minorTickMark val="none"/>
        <c:tickLblPos val="nextTo"/>
        <c:crossAx val="123314560"/>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2"/>
          <c:order val="0"/>
          <c:tx>
            <c:strRef>
              <c:f>Sheet1!$B$1</c:f>
              <c:strCache>
                <c:ptCount val="1"/>
                <c:pt idx="0">
                  <c:v>2008</c:v>
                </c:pt>
              </c:strCache>
            </c:strRef>
          </c:tx>
          <c:invertIfNegative val="0"/>
          <c:cat>
            <c:strRef>
              <c:f>Sheet1!$A$2:$A$4</c:f>
              <c:strCache>
                <c:ptCount val="3"/>
                <c:pt idx="0">
                  <c:v>      Cadres</c:v>
                </c:pt>
                <c:pt idx="1">
                  <c:v>    Techniciens/Agents de maîtrise</c:v>
                </c:pt>
                <c:pt idx="2">
                  <c:v>Opérateurs</c:v>
                </c:pt>
              </c:strCache>
            </c:strRef>
          </c:cat>
          <c:val>
            <c:numRef>
              <c:f>Sheet1!$B$2:$B$4</c:f>
              <c:numCache>
                <c:formatCode>0%</c:formatCode>
                <c:ptCount val="3"/>
                <c:pt idx="0">
                  <c:v>0.54</c:v>
                </c:pt>
                <c:pt idx="1">
                  <c:v>0.6</c:v>
                </c:pt>
                <c:pt idx="2">
                  <c:v>0.47</c:v>
                </c:pt>
              </c:numCache>
            </c:numRef>
          </c:val>
        </c:ser>
        <c:ser>
          <c:idx val="3"/>
          <c:order val="1"/>
          <c:tx>
            <c:strRef>
              <c:f>Sheet1!$C$1</c:f>
              <c:strCache>
                <c:ptCount val="1"/>
                <c:pt idx="0">
                  <c:v>2009</c:v>
                </c:pt>
              </c:strCache>
            </c:strRef>
          </c:tx>
          <c:invertIfNegative val="0"/>
          <c:cat>
            <c:strRef>
              <c:f>Sheet1!$A$2:$A$4</c:f>
              <c:strCache>
                <c:ptCount val="3"/>
                <c:pt idx="0">
                  <c:v>      Cadres</c:v>
                </c:pt>
                <c:pt idx="1">
                  <c:v>    Techniciens/Agents de maîtrise</c:v>
                </c:pt>
                <c:pt idx="2">
                  <c:v>Opérateurs</c:v>
                </c:pt>
              </c:strCache>
            </c:strRef>
          </c:cat>
          <c:val>
            <c:numRef>
              <c:f>Sheet1!$C$2:$C$4</c:f>
              <c:numCache>
                <c:formatCode>0%</c:formatCode>
                <c:ptCount val="3"/>
                <c:pt idx="0">
                  <c:v>0.64</c:v>
                </c:pt>
                <c:pt idx="1">
                  <c:v>0.61</c:v>
                </c:pt>
                <c:pt idx="2">
                  <c:v>0.56000000000000005</c:v>
                </c:pt>
              </c:numCache>
            </c:numRef>
          </c:val>
        </c:ser>
        <c:ser>
          <c:idx val="0"/>
          <c:order val="2"/>
          <c:tx>
            <c:strRef>
              <c:f>Sheet1!$D$1</c:f>
              <c:strCache>
                <c:ptCount val="1"/>
                <c:pt idx="0">
                  <c:v>2010</c:v>
                </c:pt>
              </c:strCache>
            </c:strRef>
          </c:tx>
          <c:invertIfNegative val="0"/>
          <c:cat>
            <c:strRef>
              <c:f>Sheet1!$A$2:$A$4</c:f>
              <c:strCache>
                <c:ptCount val="3"/>
                <c:pt idx="0">
                  <c:v>      Cadres</c:v>
                </c:pt>
                <c:pt idx="1">
                  <c:v>    Techniciens/Agents de maîtrise</c:v>
                </c:pt>
                <c:pt idx="2">
                  <c:v>Opérateurs</c:v>
                </c:pt>
              </c:strCache>
            </c:strRef>
          </c:cat>
          <c:val>
            <c:numRef>
              <c:f>Sheet1!$D$2:$D$4</c:f>
              <c:numCache>
                <c:formatCode>0%</c:formatCode>
                <c:ptCount val="3"/>
                <c:pt idx="0">
                  <c:v>0.75</c:v>
                </c:pt>
                <c:pt idx="1">
                  <c:v>0.61</c:v>
                </c:pt>
                <c:pt idx="2">
                  <c:v>0.37</c:v>
                </c:pt>
              </c:numCache>
            </c:numRef>
          </c:val>
        </c:ser>
        <c:ser>
          <c:idx val="1"/>
          <c:order val="3"/>
          <c:tx>
            <c:strRef>
              <c:f>Sheet1!$E$1</c:f>
              <c:strCache>
                <c:ptCount val="1"/>
                <c:pt idx="0">
                  <c:v>2011</c:v>
                </c:pt>
              </c:strCache>
            </c:strRef>
          </c:tx>
          <c:invertIfNegative val="0"/>
          <c:cat>
            <c:strRef>
              <c:f>Sheet1!$A$2:$A$4</c:f>
              <c:strCache>
                <c:ptCount val="3"/>
                <c:pt idx="0">
                  <c:v>      Cadres</c:v>
                </c:pt>
                <c:pt idx="1">
                  <c:v>    Techniciens/Agents de maîtrise</c:v>
                </c:pt>
                <c:pt idx="2">
                  <c:v>Opérateurs</c:v>
                </c:pt>
              </c:strCache>
            </c:strRef>
          </c:cat>
          <c:val>
            <c:numRef>
              <c:f>Sheet1!$E$2:$E$4</c:f>
              <c:numCache>
                <c:formatCode>0%</c:formatCode>
                <c:ptCount val="3"/>
                <c:pt idx="0">
                  <c:v>0.42</c:v>
                </c:pt>
                <c:pt idx="1">
                  <c:v>0.41</c:v>
                </c:pt>
                <c:pt idx="2">
                  <c:v>0.27</c:v>
                </c:pt>
              </c:numCache>
            </c:numRef>
          </c:val>
        </c:ser>
        <c:ser>
          <c:idx val="4"/>
          <c:order val="4"/>
          <c:tx>
            <c:strRef>
              <c:f>Sheet1!$F$1</c:f>
              <c:strCache>
                <c:ptCount val="1"/>
                <c:pt idx="0">
                  <c:v>2012</c:v>
                </c:pt>
              </c:strCache>
            </c:strRef>
          </c:tx>
          <c:invertIfNegative val="0"/>
          <c:cat>
            <c:strRef>
              <c:f>Sheet1!$A$2:$A$4</c:f>
              <c:strCache>
                <c:ptCount val="3"/>
                <c:pt idx="0">
                  <c:v>      Cadres</c:v>
                </c:pt>
                <c:pt idx="1">
                  <c:v>    Techniciens/Agents de maîtrise</c:v>
                </c:pt>
                <c:pt idx="2">
                  <c:v>Opérateurs</c:v>
                </c:pt>
              </c:strCache>
            </c:strRef>
          </c:cat>
          <c:val>
            <c:numRef>
              <c:f>Sheet1!$F$2:$F$4</c:f>
              <c:numCache>
                <c:formatCode>0%</c:formatCode>
                <c:ptCount val="3"/>
                <c:pt idx="0">
                  <c:v>0.33</c:v>
                </c:pt>
                <c:pt idx="1">
                  <c:v>0.56000000000000005</c:v>
                </c:pt>
                <c:pt idx="2">
                  <c:v>0.42</c:v>
                </c:pt>
              </c:numCache>
            </c:numRef>
          </c:val>
        </c:ser>
        <c:ser>
          <c:idx val="5"/>
          <c:order val="5"/>
          <c:tx>
            <c:strRef>
              <c:f>Sheet1!$G$1</c:f>
              <c:strCache>
                <c:ptCount val="1"/>
                <c:pt idx="0">
                  <c:v>2013</c:v>
                </c:pt>
              </c:strCache>
            </c:strRef>
          </c:tx>
          <c:invertIfNegative val="0"/>
          <c:cat>
            <c:strRef>
              <c:f>Sheet1!$A$2:$A$4</c:f>
              <c:strCache>
                <c:ptCount val="3"/>
                <c:pt idx="0">
                  <c:v>      Cadres</c:v>
                </c:pt>
                <c:pt idx="1">
                  <c:v>    Techniciens/Agents de maîtrise</c:v>
                </c:pt>
                <c:pt idx="2">
                  <c:v>Opérateurs</c:v>
                </c:pt>
              </c:strCache>
            </c:strRef>
          </c:cat>
          <c:val>
            <c:numRef>
              <c:f>Sheet1!$G$2:$G$4</c:f>
              <c:numCache>
                <c:formatCode>0%</c:formatCode>
                <c:ptCount val="3"/>
                <c:pt idx="0">
                  <c:v>0.35</c:v>
                </c:pt>
                <c:pt idx="1">
                  <c:v>0.35</c:v>
                </c:pt>
                <c:pt idx="2">
                  <c:v>0.3</c:v>
                </c:pt>
              </c:numCache>
            </c:numRef>
          </c:val>
        </c:ser>
        <c:ser>
          <c:idx val="6"/>
          <c:order val="6"/>
          <c:tx>
            <c:strRef>
              <c:f>Sheet1!$H$1</c:f>
              <c:strCache>
                <c:ptCount val="1"/>
                <c:pt idx="0">
                  <c:v>2014</c:v>
                </c:pt>
              </c:strCache>
            </c:strRef>
          </c:tx>
          <c:invertIfNegative val="0"/>
          <c:cat>
            <c:strRef>
              <c:f>Sheet1!$A$2:$A$4</c:f>
              <c:strCache>
                <c:ptCount val="3"/>
                <c:pt idx="0">
                  <c:v>      Cadres</c:v>
                </c:pt>
                <c:pt idx="1">
                  <c:v>    Techniciens/Agents de maîtrise</c:v>
                </c:pt>
                <c:pt idx="2">
                  <c:v>Opérateurs</c:v>
                </c:pt>
              </c:strCache>
            </c:strRef>
          </c:cat>
          <c:val>
            <c:numRef>
              <c:f>Sheet1!$H$2:$H$4</c:f>
              <c:numCache>
                <c:formatCode>0%</c:formatCode>
                <c:ptCount val="3"/>
                <c:pt idx="0">
                  <c:v>0.40745746046679421</c:v>
                </c:pt>
                <c:pt idx="1">
                  <c:v>0.50983410967318277</c:v>
                </c:pt>
                <c:pt idx="2">
                  <c:v>0.38471341446880547</c:v>
                </c:pt>
              </c:numCache>
            </c:numRef>
          </c:val>
        </c:ser>
        <c:dLbls>
          <c:showLegendKey val="0"/>
          <c:showVal val="1"/>
          <c:showCatName val="0"/>
          <c:showSerName val="0"/>
          <c:showPercent val="0"/>
          <c:showBubbleSize val="0"/>
        </c:dLbls>
        <c:gapWidth val="150"/>
        <c:overlap val="-25"/>
        <c:axId val="123356672"/>
        <c:axId val="123358208"/>
      </c:barChart>
      <c:catAx>
        <c:axId val="123356672"/>
        <c:scaling>
          <c:orientation val="minMax"/>
        </c:scaling>
        <c:delete val="0"/>
        <c:axPos val="b"/>
        <c:numFmt formatCode="General" sourceLinked="1"/>
        <c:majorTickMark val="none"/>
        <c:minorTickMark val="none"/>
        <c:tickLblPos val="nextTo"/>
        <c:txPr>
          <a:bodyPr rot="0" vert="horz"/>
          <a:lstStyle/>
          <a:p>
            <a:pPr>
              <a:defRPr/>
            </a:pPr>
            <a:endParaRPr lang="fr-FR"/>
          </a:p>
        </c:txPr>
        <c:crossAx val="123358208"/>
        <c:crosses val="autoZero"/>
        <c:auto val="1"/>
        <c:lblAlgn val="ctr"/>
        <c:lblOffset val="100"/>
        <c:tickLblSkip val="1"/>
        <c:tickMarkSkip val="1"/>
        <c:noMultiLvlLbl val="0"/>
      </c:catAx>
      <c:valAx>
        <c:axId val="123358208"/>
        <c:scaling>
          <c:orientation val="minMax"/>
        </c:scaling>
        <c:delete val="1"/>
        <c:axPos val="l"/>
        <c:numFmt formatCode="0%" sourceLinked="1"/>
        <c:majorTickMark val="out"/>
        <c:minorTickMark val="none"/>
        <c:tickLblPos val="nextTo"/>
        <c:crossAx val="123356672"/>
        <c:crosses val="autoZero"/>
        <c:crossBetween val="between"/>
      </c:valAx>
    </c:plotArea>
    <c:legend>
      <c:legendPos val="b"/>
      <c:layout>
        <c:manualLayout>
          <c:xMode val="edge"/>
          <c:yMode val="edge"/>
          <c:x val="0.28840905482089291"/>
          <c:y val="0.84717505217782785"/>
          <c:w val="0.36743148449570773"/>
          <c:h val="0.1461245526127416"/>
        </c:manualLayout>
      </c:layout>
      <c:overlay val="0"/>
      <c:spPr>
        <a:ln>
          <a:solidFill>
            <a:schemeClr val="bg1">
              <a:lumMod val="65000"/>
            </a:schemeClr>
          </a:solidFill>
        </a:ln>
      </c:spPr>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manualLayout>
          <c:layoutTarget val="inner"/>
          <c:xMode val="edge"/>
          <c:yMode val="edge"/>
          <c:x val="3.5282009837038532E-2"/>
          <c:y val="8.95170789163722E-2"/>
          <c:w val="0.92943598032592289"/>
          <c:h val="0.67620563330643735"/>
        </c:manualLayout>
      </c:layout>
      <c:barChart>
        <c:barDir val="col"/>
        <c:grouping val="clustered"/>
        <c:varyColors val="0"/>
        <c:ser>
          <c:idx val="0"/>
          <c:order val="0"/>
          <c:tx>
            <c:strRef>
              <c:f>Sheet1!$B$1</c:f>
              <c:strCache>
                <c:ptCount val="1"/>
              </c:strCache>
            </c:strRef>
          </c:tx>
          <c:invertIfNegative val="0"/>
          <c:dPt>
            <c:idx val="0"/>
            <c:invertIfNegative val="0"/>
            <c:bubble3D val="0"/>
          </c:dPt>
          <c:dPt>
            <c:idx val="1"/>
            <c:invertIfNegative val="0"/>
            <c:bubble3D val="0"/>
          </c:dPt>
          <c:dPt>
            <c:idx val="2"/>
            <c:invertIfNegative val="0"/>
            <c:bubble3D val="0"/>
          </c:dPt>
          <c:dPt>
            <c:idx val="3"/>
            <c:invertIfNegative val="0"/>
            <c:bubble3D val="0"/>
          </c:dPt>
          <c:cat>
            <c:strRef>
              <c:f>Sheet1!$A$2:$A$5</c:f>
              <c:strCache>
                <c:ptCount val="4"/>
                <c:pt idx="0">
                  <c:v>Hausse             </c:v>
                </c:pt>
                <c:pt idx="1">
                  <c:v>Stabilité</c:v>
                </c:pt>
                <c:pt idx="2">
                  <c:v>Baisse</c:v>
                </c:pt>
                <c:pt idx="3">
                  <c:v>Ne se prononce pas</c:v>
                </c:pt>
              </c:strCache>
            </c:strRef>
          </c:cat>
          <c:val>
            <c:numRef>
              <c:f>Sheet1!$B$2:$B$5</c:f>
              <c:numCache>
                <c:formatCode>0%</c:formatCode>
                <c:ptCount val="4"/>
                <c:pt idx="0">
                  <c:v>0.18221635150166854</c:v>
                </c:pt>
                <c:pt idx="1">
                  <c:v>0.47461994809047087</c:v>
                </c:pt>
                <c:pt idx="2">
                  <c:v>4.1022432332220991E-2</c:v>
                </c:pt>
                <c:pt idx="3">
                  <c:v>0.30214126807563957</c:v>
                </c:pt>
              </c:numCache>
            </c:numRef>
          </c:val>
        </c:ser>
        <c:dLbls>
          <c:showLegendKey val="0"/>
          <c:showVal val="1"/>
          <c:showCatName val="0"/>
          <c:showSerName val="0"/>
          <c:showPercent val="0"/>
          <c:showBubbleSize val="0"/>
        </c:dLbls>
        <c:gapWidth val="150"/>
        <c:overlap val="-25"/>
        <c:axId val="109858816"/>
        <c:axId val="109860352"/>
      </c:barChart>
      <c:catAx>
        <c:axId val="109858816"/>
        <c:scaling>
          <c:orientation val="minMax"/>
        </c:scaling>
        <c:delete val="0"/>
        <c:axPos val="b"/>
        <c:numFmt formatCode="General" sourceLinked="1"/>
        <c:majorTickMark val="none"/>
        <c:minorTickMark val="none"/>
        <c:tickLblPos val="nextTo"/>
        <c:txPr>
          <a:bodyPr rot="0" vert="horz"/>
          <a:lstStyle/>
          <a:p>
            <a:pPr>
              <a:defRPr/>
            </a:pPr>
            <a:endParaRPr lang="fr-FR"/>
          </a:p>
        </c:txPr>
        <c:crossAx val="109860352"/>
        <c:crosses val="autoZero"/>
        <c:auto val="1"/>
        <c:lblAlgn val="ctr"/>
        <c:lblOffset val="100"/>
        <c:tickLblSkip val="1"/>
        <c:tickMarkSkip val="1"/>
        <c:noMultiLvlLbl val="0"/>
      </c:catAx>
      <c:valAx>
        <c:axId val="109860352"/>
        <c:scaling>
          <c:orientation val="minMax"/>
          <c:max val="0.5"/>
        </c:scaling>
        <c:delete val="1"/>
        <c:axPos val="l"/>
        <c:numFmt formatCode="0%" sourceLinked="1"/>
        <c:majorTickMark val="none"/>
        <c:minorTickMark val="none"/>
        <c:tickLblPos val="nextTo"/>
        <c:crossAx val="109858816"/>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836814978237041"/>
          <c:y val="2.5997771592938094E-2"/>
          <c:w val="0.81604349761944228"/>
          <c:h val="0.97400233042618556"/>
        </c:manualLayout>
      </c:layout>
      <c:barChart>
        <c:barDir val="bar"/>
        <c:grouping val="clustered"/>
        <c:varyColors val="0"/>
        <c:ser>
          <c:idx val="0"/>
          <c:order val="0"/>
          <c:tx>
            <c:strRef>
              <c:f>Sheet1!$B$1</c:f>
              <c:strCache>
                <c:ptCount val="1"/>
                <c:pt idx="0">
                  <c:v>2014</c:v>
                </c:pt>
              </c:strCache>
            </c:strRef>
          </c:tx>
          <c:invertIfNegative val="0"/>
          <c:dLbls>
            <c:showLegendKey val="0"/>
            <c:showVal val="1"/>
            <c:showCatName val="0"/>
            <c:showSerName val="0"/>
            <c:showPercent val="0"/>
            <c:showBubbleSize val="0"/>
            <c:showLeaderLines val="0"/>
          </c:dLbls>
          <c:cat>
            <c:strRef>
              <c:f>Sheet1!$A$2:$A$8</c:f>
              <c:strCache>
                <c:ptCount val="7"/>
                <c:pt idx="0">
                  <c:v>Autres</c:v>
                </c:pt>
                <c:pt idx="1">
                  <c:v>TP Technicien(ne) en logistique d'entreposage</c:v>
                </c:pt>
                <c:pt idx="2">
                  <c:v>TP Cariste d'entrepôt</c:v>
                </c:pt>
                <c:pt idx="3">
                  <c:v>TP Préparateur de commandes en entrepôt</c:v>
                </c:pt>
                <c:pt idx="4">
                  <c:v>TP Agent magasinier " tenue de stocks "</c:v>
                </c:pt>
                <c:pt idx="5">
                  <c:v>CAP Agent d'Entreposage et Messagerie</c:v>
                </c:pt>
                <c:pt idx="6">
                  <c:v>BAC Pro. Logistique</c:v>
                </c:pt>
              </c:strCache>
            </c:strRef>
          </c:cat>
          <c:val>
            <c:numRef>
              <c:f>Sheet1!$B$2:$B$8</c:f>
              <c:numCache>
                <c:formatCode>0%</c:formatCode>
                <c:ptCount val="7"/>
                <c:pt idx="0">
                  <c:v>5.2324234900157397E-2</c:v>
                </c:pt>
                <c:pt idx="1">
                  <c:v>6.5246873324819682E-2</c:v>
                </c:pt>
                <c:pt idx="2">
                  <c:v>0.22422679626949946</c:v>
                </c:pt>
                <c:pt idx="3">
                  <c:v>0.10765039455189926</c:v>
                </c:pt>
                <c:pt idx="4">
                  <c:v>6.2820741254222504E-2</c:v>
                </c:pt>
                <c:pt idx="5">
                  <c:v>0.19346880127137744</c:v>
                </c:pt>
                <c:pt idx="6">
                  <c:v>0.29426215842802439</c:v>
                </c:pt>
              </c:numCache>
            </c:numRef>
          </c:val>
        </c:ser>
        <c:ser>
          <c:idx val="1"/>
          <c:order val="1"/>
          <c:tx>
            <c:strRef>
              <c:f>Sheet1!$C$1</c:f>
              <c:strCache>
                <c:ptCount val="1"/>
                <c:pt idx="0">
                  <c:v>2013</c:v>
                </c:pt>
              </c:strCache>
            </c:strRef>
          </c:tx>
          <c:invertIfNegative val="0"/>
          <c:dLbls>
            <c:showLegendKey val="0"/>
            <c:showVal val="1"/>
            <c:showCatName val="0"/>
            <c:showSerName val="0"/>
            <c:showPercent val="0"/>
            <c:showBubbleSize val="0"/>
            <c:showLeaderLines val="0"/>
          </c:dLbls>
          <c:cat>
            <c:strRef>
              <c:f>Sheet1!$A$2:$A$8</c:f>
              <c:strCache>
                <c:ptCount val="7"/>
                <c:pt idx="0">
                  <c:v>Autres</c:v>
                </c:pt>
                <c:pt idx="1">
                  <c:v>TP Technicien(ne) en logistique d'entreposage</c:v>
                </c:pt>
                <c:pt idx="2">
                  <c:v>TP Cariste d'entrepôt</c:v>
                </c:pt>
                <c:pt idx="3">
                  <c:v>TP Préparateur de commandes en entrepôt</c:v>
                </c:pt>
                <c:pt idx="4">
                  <c:v>TP Agent magasinier " tenue de stocks "</c:v>
                </c:pt>
                <c:pt idx="5">
                  <c:v>CAP Agent d'Entreposage et Messagerie</c:v>
                </c:pt>
                <c:pt idx="6">
                  <c:v>BAC Pro. Logistique</c:v>
                </c:pt>
              </c:strCache>
            </c:strRef>
          </c:cat>
          <c:val>
            <c:numRef>
              <c:f>Sheet1!$C$2:$C$8</c:f>
              <c:numCache>
                <c:formatCode>0%</c:formatCode>
                <c:ptCount val="7"/>
                <c:pt idx="0">
                  <c:v>1.6E-2</c:v>
                </c:pt>
                <c:pt idx="1">
                  <c:v>0.1</c:v>
                </c:pt>
                <c:pt idx="2">
                  <c:v>0.187</c:v>
                </c:pt>
                <c:pt idx="3">
                  <c:v>0.123</c:v>
                </c:pt>
                <c:pt idx="4">
                  <c:v>0.11</c:v>
                </c:pt>
                <c:pt idx="5">
                  <c:v>0.193</c:v>
                </c:pt>
                <c:pt idx="6">
                  <c:v>0.27100000000000002</c:v>
                </c:pt>
              </c:numCache>
            </c:numRef>
          </c:val>
        </c:ser>
        <c:ser>
          <c:idx val="2"/>
          <c:order val="2"/>
          <c:tx>
            <c:strRef>
              <c:f>Sheet1!$D$1</c:f>
              <c:strCache>
                <c:ptCount val="1"/>
                <c:pt idx="0">
                  <c:v>2012</c:v>
                </c:pt>
              </c:strCache>
            </c:strRef>
          </c:tx>
          <c:invertIfNegative val="0"/>
          <c:dLbls>
            <c:showLegendKey val="0"/>
            <c:showVal val="1"/>
            <c:showCatName val="0"/>
            <c:showSerName val="0"/>
            <c:showPercent val="0"/>
            <c:showBubbleSize val="0"/>
            <c:showLeaderLines val="0"/>
          </c:dLbls>
          <c:cat>
            <c:strRef>
              <c:f>Sheet1!$A$2:$A$8</c:f>
              <c:strCache>
                <c:ptCount val="7"/>
                <c:pt idx="0">
                  <c:v>Autres</c:v>
                </c:pt>
                <c:pt idx="1">
                  <c:v>TP Technicien(ne) en logistique d'entreposage</c:v>
                </c:pt>
                <c:pt idx="2">
                  <c:v>TP Cariste d'entrepôt</c:v>
                </c:pt>
                <c:pt idx="3">
                  <c:v>TP Préparateur de commandes en entrepôt</c:v>
                </c:pt>
                <c:pt idx="4">
                  <c:v>TP Agent magasinier " tenue de stocks "</c:v>
                </c:pt>
                <c:pt idx="5">
                  <c:v>CAP Agent d'Entreposage et Messagerie</c:v>
                </c:pt>
                <c:pt idx="6">
                  <c:v>BAC Pro. Logistique</c:v>
                </c:pt>
              </c:strCache>
            </c:strRef>
          </c:cat>
          <c:val>
            <c:numRef>
              <c:f>Sheet1!$D$2:$D$8</c:f>
              <c:numCache>
                <c:formatCode>0%</c:formatCode>
                <c:ptCount val="7"/>
                <c:pt idx="0">
                  <c:v>0.04</c:v>
                </c:pt>
                <c:pt idx="1">
                  <c:v>0.08</c:v>
                </c:pt>
                <c:pt idx="2">
                  <c:v>0.12</c:v>
                </c:pt>
                <c:pt idx="3">
                  <c:v>0.12</c:v>
                </c:pt>
                <c:pt idx="4">
                  <c:v>0.09</c:v>
                </c:pt>
                <c:pt idx="5">
                  <c:v>0.23</c:v>
                </c:pt>
                <c:pt idx="6">
                  <c:v>0.31</c:v>
                </c:pt>
              </c:numCache>
            </c:numRef>
          </c:val>
        </c:ser>
        <c:dLbls>
          <c:showLegendKey val="0"/>
          <c:showVal val="0"/>
          <c:showCatName val="0"/>
          <c:showSerName val="0"/>
          <c:showPercent val="0"/>
          <c:showBubbleSize val="0"/>
        </c:dLbls>
        <c:gapWidth val="83"/>
        <c:axId val="123401728"/>
        <c:axId val="123403264"/>
      </c:barChart>
      <c:catAx>
        <c:axId val="123401728"/>
        <c:scaling>
          <c:orientation val="minMax"/>
        </c:scaling>
        <c:delete val="0"/>
        <c:axPos val="l"/>
        <c:numFmt formatCode="General" sourceLinked="1"/>
        <c:majorTickMark val="out"/>
        <c:minorTickMark val="none"/>
        <c:tickLblPos val="nextTo"/>
        <c:crossAx val="123403264"/>
        <c:crosses val="autoZero"/>
        <c:auto val="1"/>
        <c:lblAlgn val="ctr"/>
        <c:lblOffset val="100"/>
        <c:noMultiLvlLbl val="0"/>
      </c:catAx>
      <c:valAx>
        <c:axId val="123403264"/>
        <c:scaling>
          <c:orientation val="minMax"/>
        </c:scaling>
        <c:delete val="1"/>
        <c:axPos val="b"/>
        <c:numFmt formatCode="0%" sourceLinked="1"/>
        <c:majorTickMark val="out"/>
        <c:minorTickMark val="none"/>
        <c:tickLblPos val="nextTo"/>
        <c:crossAx val="123401728"/>
        <c:crosses val="autoZero"/>
        <c:crossBetween val="between"/>
      </c:valAx>
      <c:spPr>
        <a:ln>
          <a:solidFill>
            <a:schemeClr val="bg1"/>
          </a:solidFill>
        </a:ln>
      </c:spPr>
    </c:plotArea>
    <c:legend>
      <c:legendPos val="r"/>
      <c:layout>
        <c:manualLayout>
          <c:xMode val="edge"/>
          <c:yMode val="edge"/>
          <c:x val="0.87892866426840399"/>
          <c:y val="0.54058329665313576"/>
          <c:w val="5.2913721248102771E-2"/>
          <c:h val="0.26489688788901389"/>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9215819190646058"/>
          <c:y val="2.9943766071911047E-2"/>
          <c:w val="0.70784181357999088"/>
          <c:h val="0.94943979691349822"/>
        </c:manualLayout>
      </c:layout>
      <c:barChart>
        <c:barDir val="bar"/>
        <c:grouping val="clustered"/>
        <c:varyColors val="0"/>
        <c:ser>
          <c:idx val="0"/>
          <c:order val="0"/>
          <c:tx>
            <c:strRef>
              <c:f>Sheet1!$B$1</c:f>
              <c:strCache>
                <c:ptCount val="1"/>
                <c:pt idx="0">
                  <c:v>2014</c:v>
                </c:pt>
              </c:strCache>
            </c:strRef>
          </c:tx>
          <c:invertIfNegative val="0"/>
          <c:dLbls>
            <c:dLblPos val="outEnd"/>
            <c:showLegendKey val="0"/>
            <c:showVal val="1"/>
            <c:showCatName val="0"/>
            <c:showSerName val="0"/>
            <c:showPercent val="0"/>
            <c:showBubbleSize val="0"/>
            <c:showLeaderLines val="0"/>
          </c:dLbls>
          <c:cat>
            <c:strRef>
              <c:f>Sheet1!$A$2:$A$7</c:f>
              <c:strCache>
                <c:ptCount val="6"/>
                <c:pt idx="0">
                  <c:v>Autres</c:v>
                </c:pt>
                <c:pt idx="1">
                  <c:v>TSMEL (Bac +2)</c:v>
                </c:pt>
                <c:pt idx="2">
                  <c:v>DUT Gestion Logistique et Transport (Bac +2)</c:v>
                </c:pt>
                <c:pt idx="3">
                  <c:v>BTS Transport et Prestations logistiques (Bac +2)</c:v>
                </c:pt>
                <c:pt idx="4">
                  <c:v>TP Technicien(ne) en logistique d'entreposage</c:v>
                </c:pt>
                <c:pt idx="5">
                  <c:v>BAC Pro. Logistique </c:v>
                </c:pt>
              </c:strCache>
            </c:strRef>
          </c:cat>
          <c:val>
            <c:numRef>
              <c:f>Sheet1!$B$2:$B$7</c:f>
              <c:numCache>
                <c:formatCode>0%</c:formatCode>
                <c:ptCount val="6"/>
                <c:pt idx="0">
                  <c:v>4.7643910830378583E-2</c:v>
                </c:pt>
                <c:pt idx="1">
                  <c:v>0.11599181198245297</c:v>
                </c:pt>
                <c:pt idx="2">
                  <c:v>0.24397136376614253</c:v>
                </c:pt>
                <c:pt idx="3">
                  <c:v>0.36297606267950894</c:v>
                </c:pt>
                <c:pt idx="4">
                  <c:v>3.6790981559957373E-2</c:v>
                </c:pt>
                <c:pt idx="5">
                  <c:v>0.19262586918155961</c:v>
                </c:pt>
              </c:numCache>
            </c:numRef>
          </c:val>
        </c:ser>
        <c:ser>
          <c:idx val="1"/>
          <c:order val="1"/>
          <c:tx>
            <c:strRef>
              <c:f>Sheet1!$C$1</c:f>
              <c:strCache>
                <c:ptCount val="1"/>
                <c:pt idx="0">
                  <c:v>2013</c:v>
                </c:pt>
              </c:strCache>
            </c:strRef>
          </c:tx>
          <c:invertIfNegative val="0"/>
          <c:dLbls>
            <c:dLblPos val="outEnd"/>
            <c:showLegendKey val="0"/>
            <c:showVal val="1"/>
            <c:showCatName val="0"/>
            <c:showSerName val="0"/>
            <c:showPercent val="0"/>
            <c:showBubbleSize val="0"/>
            <c:showLeaderLines val="0"/>
          </c:dLbls>
          <c:cat>
            <c:strRef>
              <c:f>Sheet1!$A$2:$A$7</c:f>
              <c:strCache>
                <c:ptCount val="6"/>
                <c:pt idx="0">
                  <c:v>Autres</c:v>
                </c:pt>
                <c:pt idx="1">
                  <c:v>TSMEL (Bac +2)</c:v>
                </c:pt>
                <c:pt idx="2">
                  <c:v>DUT Gestion Logistique et Transport (Bac +2)</c:v>
                </c:pt>
                <c:pt idx="3">
                  <c:v>BTS Transport et Prestations logistiques (Bac +2)</c:v>
                </c:pt>
                <c:pt idx="4">
                  <c:v>TP Technicien(ne) en logistique d'entreposage</c:v>
                </c:pt>
                <c:pt idx="5">
                  <c:v>BAC Pro. Logistique </c:v>
                </c:pt>
              </c:strCache>
            </c:strRef>
          </c:cat>
          <c:val>
            <c:numRef>
              <c:f>Sheet1!$C$2:$C$7</c:f>
              <c:numCache>
                <c:formatCode>0%</c:formatCode>
                <c:ptCount val="6"/>
                <c:pt idx="0">
                  <c:v>2.1999999999999999E-2</c:v>
                </c:pt>
                <c:pt idx="1">
                  <c:v>0.11700000000000001</c:v>
                </c:pt>
                <c:pt idx="2">
                  <c:v>0.23200000000000001</c:v>
                </c:pt>
                <c:pt idx="3">
                  <c:v>0.318</c:v>
                </c:pt>
                <c:pt idx="4">
                  <c:v>0.09</c:v>
                </c:pt>
                <c:pt idx="5">
                  <c:v>0.221</c:v>
                </c:pt>
              </c:numCache>
            </c:numRef>
          </c:val>
        </c:ser>
        <c:ser>
          <c:idx val="2"/>
          <c:order val="2"/>
          <c:tx>
            <c:strRef>
              <c:f>Sheet1!$D$1</c:f>
              <c:strCache>
                <c:ptCount val="1"/>
                <c:pt idx="0">
                  <c:v>2012</c:v>
                </c:pt>
              </c:strCache>
            </c:strRef>
          </c:tx>
          <c:invertIfNegative val="0"/>
          <c:dLbls>
            <c:dLblPos val="outEnd"/>
            <c:showLegendKey val="0"/>
            <c:showVal val="1"/>
            <c:showCatName val="0"/>
            <c:showSerName val="0"/>
            <c:showPercent val="0"/>
            <c:showBubbleSize val="0"/>
            <c:showLeaderLines val="0"/>
          </c:dLbls>
          <c:cat>
            <c:strRef>
              <c:f>Sheet1!$A$2:$A$7</c:f>
              <c:strCache>
                <c:ptCount val="6"/>
                <c:pt idx="0">
                  <c:v>Autres</c:v>
                </c:pt>
                <c:pt idx="1">
                  <c:v>TSMEL (Bac +2)</c:v>
                </c:pt>
                <c:pt idx="2">
                  <c:v>DUT Gestion Logistique et Transport (Bac +2)</c:v>
                </c:pt>
                <c:pt idx="3">
                  <c:v>BTS Transport et Prestations logistiques (Bac +2)</c:v>
                </c:pt>
                <c:pt idx="4">
                  <c:v>TP Technicien(ne) en logistique d'entreposage</c:v>
                </c:pt>
                <c:pt idx="5">
                  <c:v>BAC Pro. Logistique </c:v>
                </c:pt>
              </c:strCache>
            </c:strRef>
          </c:cat>
          <c:val>
            <c:numRef>
              <c:f>Sheet1!$D$2:$D$7</c:f>
              <c:numCache>
                <c:formatCode>0%</c:formatCode>
                <c:ptCount val="6"/>
                <c:pt idx="0">
                  <c:v>0.03</c:v>
                </c:pt>
                <c:pt idx="1">
                  <c:v>0.14000000000000001</c:v>
                </c:pt>
                <c:pt idx="2">
                  <c:v>0.26</c:v>
                </c:pt>
                <c:pt idx="3">
                  <c:v>0.38</c:v>
                </c:pt>
                <c:pt idx="4">
                  <c:v>0.04</c:v>
                </c:pt>
                <c:pt idx="5">
                  <c:v>0.15</c:v>
                </c:pt>
              </c:numCache>
            </c:numRef>
          </c:val>
        </c:ser>
        <c:dLbls>
          <c:showLegendKey val="0"/>
          <c:showVal val="0"/>
          <c:showCatName val="0"/>
          <c:showSerName val="0"/>
          <c:showPercent val="0"/>
          <c:showBubbleSize val="0"/>
        </c:dLbls>
        <c:gapWidth val="65"/>
        <c:axId val="123483648"/>
        <c:axId val="123485184"/>
      </c:barChart>
      <c:catAx>
        <c:axId val="123483648"/>
        <c:scaling>
          <c:orientation val="minMax"/>
        </c:scaling>
        <c:delete val="0"/>
        <c:axPos val="l"/>
        <c:numFmt formatCode="General" sourceLinked="1"/>
        <c:majorTickMark val="out"/>
        <c:minorTickMark val="none"/>
        <c:tickLblPos val="nextTo"/>
        <c:crossAx val="123485184"/>
        <c:crosses val="autoZero"/>
        <c:auto val="1"/>
        <c:lblAlgn val="ctr"/>
        <c:lblOffset val="100"/>
        <c:noMultiLvlLbl val="0"/>
      </c:catAx>
      <c:valAx>
        <c:axId val="123485184"/>
        <c:scaling>
          <c:orientation val="minMax"/>
        </c:scaling>
        <c:delete val="1"/>
        <c:axPos val="b"/>
        <c:numFmt formatCode="0%" sourceLinked="1"/>
        <c:majorTickMark val="out"/>
        <c:minorTickMark val="none"/>
        <c:tickLblPos val="nextTo"/>
        <c:crossAx val="123483648"/>
        <c:crosses val="autoZero"/>
        <c:crossBetween val="between"/>
      </c:valAx>
    </c:plotArea>
    <c:legend>
      <c:legendPos val="r"/>
      <c:layout>
        <c:manualLayout>
          <c:xMode val="edge"/>
          <c:yMode val="edge"/>
          <c:x val="0.80776574461039075"/>
          <c:y val="0.6268152370524237"/>
          <c:w val="5.1810202556797191E-2"/>
          <c:h val="0.27107031866415471"/>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15816838962783"/>
          <c:y val="1.49061630454088E-2"/>
          <c:w val="0.70784181357999088"/>
          <c:h val="0.96948986639827917"/>
        </c:manualLayout>
      </c:layout>
      <c:barChart>
        <c:barDir val="bar"/>
        <c:grouping val="clustered"/>
        <c:varyColors val="0"/>
        <c:ser>
          <c:idx val="0"/>
          <c:order val="0"/>
          <c:tx>
            <c:strRef>
              <c:f>Sheet1!$B$1</c:f>
              <c:strCache>
                <c:ptCount val="1"/>
                <c:pt idx="0">
                  <c:v>2014</c:v>
                </c:pt>
              </c:strCache>
            </c:strRef>
          </c:tx>
          <c:invertIfNegative val="0"/>
          <c:dLbls>
            <c:dLblPos val="outEnd"/>
            <c:showLegendKey val="0"/>
            <c:showVal val="1"/>
            <c:showCatName val="0"/>
            <c:showSerName val="0"/>
            <c:showPercent val="0"/>
            <c:showBubbleSize val="0"/>
            <c:showLeaderLines val="0"/>
          </c:dLbls>
          <c:cat>
            <c:strRef>
              <c:f>Sheet1!$A$2:$A$8</c:f>
              <c:strCache>
                <c:ptCount val="7"/>
                <c:pt idx="0">
                  <c:v>Autres</c:v>
                </c:pt>
                <c:pt idx="1">
                  <c:v>Diplôme Bac +6 (Mastères spécialisés en logistique, IML, HEC…)</c:v>
                </c:pt>
                <c:pt idx="2">
                  <c:v>Ecoles d'ingénieurs et Grandes Ecoles avec spécialisation logistique (Centrale, Mines, ENPC…)</c:v>
                </c:pt>
                <c:pt idx="3">
                  <c:v>Diplômes d’Ecoles et d’Universités Bac +5 (MTLCI, MOLI, master 2…)</c:v>
                </c:pt>
                <c:pt idx="4">
                  <c:v>Diplômes d’Ecoles et d’Universités Bac +4</c:v>
                </c:pt>
                <c:pt idx="5">
                  <c:v>Diplômes d’Ecoles Bac +3 (RPTL, REL…) et licences professionnelles en logistique</c:v>
                </c:pt>
                <c:pt idx="6">
                  <c:v>Diplômes et titres professionnels Bac +2 (DUT gestion logistique et transport, TSMEL, TSTL…)</c:v>
                </c:pt>
              </c:strCache>
            </c:strRef>
          </c:cat>
          <c:val>
            <c:numRef>
              <c:f>Sheet1!$B$2:$B$8</c:f>
              <c:numCache>
                <c:formatCode>0%</c:formatCode>
                <c:ptCount val="7"/>
                <c:pt idx="0">
                  <c:v>2.347566763196306E-2</c:v>
                </c:pt>
                <c:pt idx="1">
                  <c:v>3.1849860732617946E-2</c:v>
                </c:pt>
                <c:pt idx="2">
                  <c:v>9.0447289872638559E-2</c:v>
                </c:pt>
                <c:pt idx="3">
                  <c:v>0.29112219681635182</c:v>
                </c:pt>
                <c:pt idx="4">
                  <c:v>0.21992379936739598</c:v>
                </c:pt>
                <c:pt idx="5">
                  <c:v>0.20528832637455505</c:v>
                </c:pt>
                <c:pt idx="6">
                  <c:v>0.13789285920447752</c:v>
                </c:pt>
              </c:numCache>
            </c:numRef>
          </c:val>
        </c:ser>
        <c:ser>
          <c:idx val="1"/>
          <c:order val="1"/>
          <c:tx>
            <c:strRef>
              <c:f>Sheet1!$C$1</c:f>
              <c:strCache>
                <c:ptCount val="1"/>
                <c:pt idx="0">
                  <c:v>2013</c:v>
                </c:pt>
              </c:strCache>
            </c:strRef>
          </c:tx>
          <c:invertIfNegative val="0"/>
          <c:dLbls>
            <c:dLblPos val="outEnd"/>
            <c:showLegendKey val="0"/>
            <c:showVal val="1"/>
            <c:showCatName val="0"/>
            <c:showSerName val="0"/>
            <c:showPercent val="0"/>
            <c:showBubbleSize val="0"/>
            <c:showLeaderLines val="0"/>
          </c:dLbls>
          <c:cat>
            <c:strRef>
              <c:f>Sheet1!$A$2:$A$8</c:f>
              <c:strCache>
                <c:ptCount val="7"/>
                <c:pt idx="0">
                  <c:v>Autres</c:v>
                </c:pt>
                <c:pt idx="1">
                  <c:v>Diplôme Bac +6 (Mastères spécialisés en logistique, IML, HEC…)</c:v>
                </c:pt>
                <c:pt idx="2">
                  <c:v>Ecoles d'ingénieurs et Grandes Ecoles avec spécialisation logistique (Centrale, Mines, ENPC…)</c:v>
                </c:pt>
                <c:pt idx="3">
                  <c:v>Diplômes d’Ecoles et d’Universités Bac +5 (MTLCI, MOLI, master 2…)</c:v>
                </c:pt>
                <c:pt idx="4">
                  <c:v>Diplômes d’Ecoles et d’Universités Bac +4</c:v>
                </c:pt>
                <c:pt idx="5">
                  <c:v>Diplômes d’Ecoles Bac +3 (RPTL, REL…) et licences professionnelles en logistique</c:v>
                </c:pt>
                <c:pt idx="6">
                  <c:v>Diplômes et titres professionnels Bac +2 (DUT gestion logistique et transport, TSMEL, TSTL…)</c:v>
                </c:pt>
              </c:strCache>
            </c:strRef>
          </c:cat>
          <c:val>
            <c:numRef>
              <c:f>Sheet1!$C$2:$C$8</c:f>
              <c:numCache>
                <c:formatCode>0%</c:formatCode>
                <c:ptCount val="7"/>
                <c:pt idx="0">
                  <c:v>0.01</c:v>
                </c:pt>
                <c:pt idx="1">
                  <c:v>7.2999999999999995E-2</c:v>
                </c:pt>
                <c:pt idx="2">
                  <c:v>0.114</c:v>
                </c:pt>
                <c:pt idx="3">
                  <c:v>0.23699999999999999</c:v>
                </c:pt>
                <c:pt idx="4">
                  <c:v>0.23699999999999999</c:v>
                </c:pt>
                <c:pt idx="5">
                  <c:v>0.17799999999999999</c:v>
                </c:pt>
                <c:pt idx="6">
                  <c:v>0.15</c:v>
                </c:pt>
              </c:numCache>
            </c:numRef>
          </c:val>
        </c:ser>
        <c:ser>
          <c:idx val="2"/>
          <c:order val="2"/>
          <c:tx>
            <c:strRef>
              <c:f>Sheet1!$D$1</c:f>
              <c:strCache>
                <c:ptCount val="1"/>
                <c:pt idx="0">
                  <c:v>2012</c:v>
                </c:pt>
              </c:strCache>
            </c:strRef>
          </c:tx>
          <c:invertIfNegative val="0"/>
          <c:dLbls>
            <c:dLblPos val="outEnd"/>
            <c:showLegendKey val="0"/>
            <c:showVal val="1"/>
            <c:showCatName val="0"/>
            <c:showSerName val="0"/>
            <c:showPercent val="0"/>
            <c:showBubbleSize val="0"/>
            <c:showLeaderLines val="0"/>
          </c:dLbls>
          <c:cat>
            <c:strRef>
              <c:f>Sheet1!$A$2:$A$8</c:f>
              <c:strCache>
                <c:ptCount val="7"/>
                <c:pt idx="0">
                  <c:v>Autres</c:v>
                </c:pt>
                <c:pt idx="1">
                  <c:v>Diplôme Bac +6 (Mastères spécialisés en logistique, IML, HEC…)</c:v>
                </c:pt>
                <c:pt idx="2">
                  <c:v>Ecoles d'ingénieurs et Grandes Ecoles avec spécialisation logistique (Centrale, Mines, ENPC…)</c:v>
                </c:pt>
                <c:pt idx="3">
                  <c:v>Diplômes d’Ecoles et d’Universités Bac +5 (MTLCI, MOLI, master 2…)</c:v>
                </c:pt>
                <c:pt idx="4">
                  <c:v>Diplômes d’Ecoles et d’Universités Bac +4</c:v>
                </c:pt>
                <c:pt idx="5">
                  <c:v>Diplômes d’Ecoles Bac +3 (RPTL, REL…) et licences professionnelles en logistique</c:v>
                </c:pt>
                <c:pt idx="6">
                  <c:v>Diplômes et titres professionnels Bac +2 (DUT gestion logistique et transport, TSMEL, TSTL…)</c:v>
                </c:pt>
              </c:strCache>
            </c:strRef>
          </c:cat>
          <c:val>
            <c:numRef>
              <c:f>Sheet1!$D$2:$D$8</c:f>
              <c:numCache>
                <c:formatCode>0%</c:formatCode>
                <c:ptCount val="7"/>
                <c:pt idx="0">
                  <c:v>0.04</c:v>
                </c:pt>
                <c:pt idx="1">
                  <c:v>0.06</c:v>
                </c:pt>
                <c:pt idx="2">
                  <c:v>0.12</c:v>
                </c:pt>
                <c:pt idx="3">
                  <c:v>0.25</c:v>
                </c:pt>
                <c:pt idx="4">
                  <c:v>0.22</c:v>
                </c:pt>
                <c:pt idx="5">
                  <c:v>0.12</c:v>
                </c:pt>
                <c:pt idx="6">
                  <c:v>0.18</c:v>
                </c:pt>
              </c:numCache>
            </c:numRef>
          </c:val>
        </c:ser>
        <c:dLbls>
          <c:showLegendKey val="0"/>
          <c:showVal val="0"/>
          <c:showCatName val="0"/>
          <c:showSerName val="0"/>
          <c:showPercent val="0"/>
          <c:showBubbleSize val="0"/>
        </c:dLbls>
        <c:gapWidth val="74"/>
        <c:axId val="123540992"/>
        <c:axId val="123542528"/>
      </c:barChart>
      <c:catAx>
        <c:axId val="123540992"/>
        <c:scaling>
          <c:orientation val="minMax"/>
        </c:scaling>
        <c:delete val="0"/>
        <c:axPos val="l"/>
        <c:numFmt formatCode="General" sourceLinked="1"/>
        <c:majorTickMark val="out"/>
        <c:minorTickMark val="none"/>
        <c:tickLblPos val="nextTo"/>
        <c:crossAx val="123542528"/>
        <c:crosses val="autoZero"/>
        <c:auto val="1"/>
        <c:lblAlgn val="ctr"/>
        <c:lblOffset val="100"/>
        <c:noMultiLvlLbl val="0"/>
      </c:catAx>
      <c:valAx>
        <c:axId val="123542528"/>
        <c:scaling>
          <c:orientation val="minMax"/>
        </c:scaling>
        <c:delete val="1"/>
        <c:axPos val="b"/>
        <c:numFmt formatCode="0%" sourceLinked="1"/>
        <c:majorTickMark val="out"/>
        <c:minorTickMark val="none"/>
        <c:tickLblPos val="nextTo"/>
        <c:crossAx val="123540992"/>
        <c:crosses val="autoZero"/>
        <c:crossBetween val="between"/>
      </c:valAx>
    </c:plotArea>
    <c:legend>
      <c:legendPos val="r"/>
      <c:layout>
        <c:manualLayout>
          <c:xMode val="edge"/>
          <c:yMode val="edge"/>
          <c:x val="0.87277732461032209"/>
          <c:y val="0.6307301718864089"/>
          <c:w val="5.2522182084533305E-2"/>
          <c:h val="0.24916799873699999"/>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Sheet1!$A$2</c:f>
              <c:strCache>
                <c:ptCount val="1"/>
                <c:pt idx="0">
                  <c:v>2013</c:v>
                </c:pt>
              </c:strCache>
            </c:strRef>
          </c:tx>
          <c:invertIfNegative val="0"/>
          <c:dLbls>
            <c:txPr>
              <a:bodyPr rot="-5400000" vert="horz"/>
              <a:lstStyle/>
              <a:p>
                <a:pPr>
                  <a:defRPr/>
                </a:pPr>
                <a:endParaRPr lang="fr-FR"/>
              </a:p>
            </c:txPr>
            <c:showLegendKey val="0"/>
            <c:showVal val="1"/>
            <c:showCatName val="0"/>
            <c:showSerName val="0"/>
            <c:showPercent val="0"/>
            <c:showBubbleSize val="0"/>
            <c:showLeaderLines val="0"/>
          </c:dLbls>
          <c:cat>
            <c:strRef>
              <c:f>Sheet1!$B$1:$H$1</c:f>
              <c:strCache>
                <c:ptCount val="7"/>
                <c:pt idx="0">
                  <c:v>IAA</c:v>
                </c:pt>
                <c:pt idx="1">
                  <c:v>PHAR</c:v>
                </c:pt>
                <c:pt idx="2">
                  <c:v>AUTO</c:v>
                </c:pt>
                <c:pt idx="3">
                  <c:v>IEM</c:v>
                </c:pt>
                <c:pt idx="4">
                  <c:v>CHIM</c:v>
                </c:pt>
                <c:pt idx="5">
                  <c:v>COM</c:v>
                </c:pt>
                <c:pt idx="6">
                  <c:v>TRP</c:v>
                </c:pt>
              </c:strCache>
            </c:strRef>
          </c:cat>
          <c:val>
            <c:numRef>
              <c:f>Sheet1!$B$2:$H$2</c:f>
              <c:numCache>
                <c:formatCode>0%</c:formatCode>
                <c:ptCount val="7"/>
                <c:pt idx="0">
                  <c:v>0.12</c:v>
                </c:pt>
                <c:pt idx="1">
                  <c:v>0.32</c:v>
                </c:pt>
                <c:pt idx="2">
                  <c:v>0.38</c:v>
                </c:pt>
                <c:pt idx="3">
                  <c:v>0.19</c:v>
                </c:pt>
                <c:pt idx="4">
                  <c:v>0.18</c:v>
                </c:pt>
                <c:pt idx="5">
                  <c:v>0.17</c:v>
                </c:pt>
                <c:pt idx="6">
                  <c:v>0.42</c:v>
                </c:pt>
              </c:numCache>
            </c:numRef>
          </c:val>
        </c:ser>
        <c:ser>
          <c:idx val="3"/>
          <c:order val="1"/>
          <c:tx>
            <c:strRef>
              <c:f>Sheet1!$A$3</c:f>
              <c:strCache>
                <c:ptCount val="1"/>
                <c:pt idx="0">
                  <c:v>2014</c:v>
                </c:pt>
              </c:strCache>
            </c:strRef>
          </c:tx>
          <c:spPr>
            <a:solidFill>
              <a:srgbClr val="C0504D">
                <a:lumMod val="75000"/>
              </a:srgbClr>
            </a:solidFill>
          </c:spPr>
          <c:invertIfNegative val="0"/>
          <c:dLbls>
            <c:txPr>
              <a:bodyPr rot="-5400000" vert="horz"/>
              <a:lstStyle/>
              <a:p>
                <a:pPr>
                  <a:defRPr/>
                </a:pPr>
                <a:endParaRPr lang="fr-FR"/>
              </a:p>
            </c:txPr>
            <c:showLegendKey val="0"/>
            <c:showVal val="1"/>
            <c:showCatName val="0"/>
            <c:showSerName val="0"/>
            <c:showPercent val="0"/>
            <c:showBubbleSize val="0"/>
            <c:showLeaderLines val="0"/>
          </c:dLbls>
          <c:cat>
            <c:strRef>
              <c:f>Sheet1!$B$1:$H$1</c:f>
              <c:strCache>
                <c:ptCount val="7"/>
                <c:pt idx="0">
                  <c:v>IAA</c:v>
                </c:pt>
                <c:pt idx="1">
                  <c:v>PHAR</c:v>
                </c:pt>
                <c:pt idx="2">
                  <c:v>AUTO</c:v>
                </c:pt>
                <c:pt idx="3">
                  <c:v>IEM</c:v>
                </c:pt>
                <c:pt idx="4">
                  <c:v>CHIM</c:v>
                </c:pt>
                <c:pt idx="5">
                  <c:v>COM</c:v>
                </c:pt>
                <c:pt idx="6">
                  <c:v>TRP</c:v>
                </c:pt>
              </c:strCache>
            </c:strRef>
          </c:cat>
          <c:val>
            <c:numRef>
              <c:f>Sheet1!$B$3:$H$3</c:f>
              <c:numCache>
                <c:formatCode>0%</c:formatCode>
                <c:ptCount val="7"/>
                <c:pt idx="0">
                  <c:v>0.14000000000000001</c:v>
                </c:pt>
                <c:pt idx="1">
                  <c:v>0.19</c:v>
                </c:pt>
                <c:pt idx="2">
                  <c:v>0.37</c:v>
                </c:pt>
                <c:pt idx="3">
                  <c:v>0.19</c:v>
                </c:pt>
                <c:pt idx="4">
                  <c:v>0.11</c:v>
                </c:pt>
                <c:pt idx="5">
                  <c:v>0.2</c:v>
                </c:pt>
                <c:pt idx="6">
                  <c:v>0.25</c:v>
                </c:pt>
              </c:numCache>
            </c:numRef>
          </c:val>
        </c:ser>
        <c:ser>
          <c:idx val="0"/>
          <c:order val="2"/>
          <c:tx>
            <c:strRef>
              <c:f>Sheet1!$A$4</c:f>
              <c:strCache>
                <c:ptCount val="1"/>
                <c:pt idx="0">
                  <c:v>2015</c:v>
                </c:pt>
              </c:strCache>
            </c:strRef>
          </c:tx>
          <c:invertIfNegative val="0"/>
          <c:dLbls>
            <c:txPr>
              <a:bodyPr rot="-5400000" vert="horz"/>
              <a:lstStyle/>
              <a:p>
                <a:pPr>
                  <a:defRPr/>
                </a:pPr>
                <a:endParaRPr lang="fr-FR"/>
              </a:p>
            </c:txPr>
            <c:showLegendKey val="0"/>
            <c:showVal val="1"/>
            <c:showCatName val="0"/>
            <c:showSerName val="0"/>
            <c:showPercent val="0"/>
            <c:showBubbleSize val="0"/>
            <c:showLeaderLines val="0"/>
          </c:dLbls>
          <c:cat>
            <c:strRef>
              <c:f>Sheet1!$B$1:$H$1</c:f>
              <c:strCache>
                <c:ptCount val="7"/>
                <c:pt idx="0">
                  <c:v>IAA</c:v>
                </c:pt>
                <c:pt idx="1">
                  <c:v>PHAR</c:v>
                </c:pt>
                <c:pt idx="2">
                  <c:v>AUTO</c:v>
                </c:pt>
                <c:pt idx="3">
                  <c:v>IEM</c:v>
                </c:pt>
                <c:pt idx="4">
                  <c:v>CHIM</c:v>
                </c:pt>
                <c:pt idx="5">
                  <c:v>COM</c:v>
                </c:pt>
                <c:pt idx="6">
                  <c:v>TRP</c:v>
                </c:pt>
              </c:strCache>
            </c:strRef>
          </c:cat>
          <c:val>
            <c:numRef>
              <c:f>Sheet1!$B$4:$H$4</c:f>
              <c:numCache>
                <c:formatCode>0%</c:formatCode>
                <c:ptCount val="7"/>
                <c:pt idx="0">
                  <c:v>0.18116481042177643</c:v>
                </c:pt>
                <c:pt idx="1">
                  <c:v>0.27802662685081497</c:v>
                </c:pt>
                <c:pt idx="2">
                  <c:v>0.42730954676952743</c:v>
                </c:pt>
                <c:pt idx="3">
                  <c:v>0.20613222119246233</c:v>
                </c:pt>
                <c:pt idx="4">
                  <c:v>0.19428890657338937</c:v>
                </c:pt>
                <c:pt idx="5">
                  <c:v>0.2328857403681347</c:v>
                </c:pt>
                <c:pt idx="6">
                  <c:v>0.37067111605487579</c:v>
                </c:pt>
              </c:numCache>
            </c:numRef>
          </c:val>
        </c:ser>
        <c:dLbls>
          <c:showLegendKey val="0"/>
          <c:showVal val="1"/>
          <c:showCatName val="0"/>
          <c:showSerName val="0"/>
          <c:showPercent val="0"/>
          <c:showBubbleSize val="0"/>
        </c:dLbls>
        <c:gapWidth val="150"/>
        <c:overlap val="-25"/>
        <c:axId val="123627008"/>
        <c:axId val="123628544"/>
      </c:barChart>
      <c:catAx>
        <c:axId val="123627008"/>
        <c:scaling>
          <c:orientation val="minMax"/>
        </c:scaling>
        <c:delete val="0"/>
        <c:axPos val="b"/>
        <c:numFmt formatCode="General" sourceLinked="1"/>
        <c:majorTickMark val="none"/>
        <c:minorTickMark val="none"/>
        <c:tickLblPos val="nextTo"/>
        <c:txPr>
          <a:bodyPr rot="0" vert="horz"/>
          <a:lstStyle/>
          <a:p>
            <a:pPr>
              <a:defRPr/>
            </a:pPr>
            <a:endParaRPr lang="fr-FR"/>
          </a:p>
        </c:txPr>
        <c:crossAx val="123628544"/>
        <c:crosses val="autoZero"/>
        <c:auto val="1"/>
        <c:lblAlgn val="ctr"/>
        <c:lblOffset val="100"/>
        <c:tickLblSkip val="1"/>
        <c:tickMarkSkip val="1"/>
        <c:noMultiLvlLbl val="0"/>
      </c:catAx>
      <c:valAx>
        <c:axId val="123628544"/>
        <c:scaling>
          <c:orientation val="minMax"/>
        </c:scaling>
        <c:delete val="1"/>
        <c:axPos val="l"/>
        <c:numFmt formatCode="0%" sourceLinked="1"/>
        <c:majorTickMark val="out"/>
        <c:minorTickMark val="none"/>
        <c:tickLblPos val="nextTo"/>
        <c:crossAx val="123627008"/>
        <c:crosses val="autoZero"/>
        <c:crossBetween val="between"/>
      </c:valAx>
      <c:spPr>
        <a:noFill/>
        <a:ln w="25400">
          <a:noFill/>
        </a:ln>
      </c:spPr>
    </c:plotArea>
    <c:legend>
      <c:legendPos val="b"/>
      <c:layout>
        <c:manualLayout>
          <c:xMode val="edge"/>
          <c:yMode val="edge"/>
          <c:x val="0.46950591335445618"/>
          <c:y val="0.92680100602273907"/>
          <c:w val="0.19929548647056569"/>
          <c:h val="5.5940954016478799E-2"/>
        </c:manualLayout>
      </c:layout>
      <c:overlay val="0"/>
      <c:spPr>
        <a:ln>
          <a:solidFill>
            <a:sysClr val="window" lastClr="FFFFFF">
              <a:lumMod val="50000"/>
            </a:sysClr>
          </a:solidFill>
        </a:ln>
      </c:spPr>
    </c:legend>
    <c:plotVisOnly val="1"/>
    <c:dispBlanksAs val="gap"/>
    <c:showDLblsOverMax val="0"/>
  </c:chart>
  <c:spPr>
    <a:ln>
      <a:solidFill>
        <a:sysClr val="window" lastClr="FFFFFF"/>
      </a:solid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6941866309264534"/>
          <c:w val="1"/>
          <c:h val="0.53209933864649894"/>
        </c:manualLayout>
      </c:layout>
      <c:barChart>
        <c:barDir val="col"/>
        <c:grouping val="clustered"/>
        <c:varyColors val="0"/>
        <c:ser>
          <c:idx val="2"/>
          <c:order val="0"/>
          <c:tx>
            <c:strRef>
              <c:f>Sheet1!$A$2</c:f>
              <c:strCache>
                <c:ptCount val="1"/>
                <c:pt idx="0">
                  <c:v>2013</c:v>
                </c:pt>
              </c:strCache>
            </c:strRef>
          </c:tx>
          <c:invertIfNegative val="0"/>
          <c:dLbls>
            <c:txPr>
              <a:bodyPr rot="-5400000" vert="horz"/>
              <a:lstStyle/>
              <a:p>
                <a:pPr>
                  <a:defRPr/>
                </a:pPr>
                <a:endParaRPr lang="fr-FR"/>
              </a:p>
            </c:txPr>
            <c:showLegendKey val="0"/>
            <c:showVal val="1"/>
            <c:showCatName val="0"/>
            <c:showSerName val="0"/>
            <c:showPercent val="0"/>
            <c:showBubbleSize val="0"/>
            <c:showLeaderLines val="0"/>
          </c:dLbls>
          <c:cat>
            <c:strRef>
              <c:f>Sheet1!$B$1:$C$1</c:f>
              <c:strCache>
                <c:ptCount val="2"/>
                <c:pt idx="0">
                  <c:v>COM</c:v>
                </c:pt>
                <c:pt idx="1">
                  <c:v>TRP</c:v>
                </c:pt>
              </c:strCache>
            </c:strRef>
          </c:cat>
          <c:val>
            <c:numRef>
              <c:f>Sheet1!$B$2:$C$2</c:f>
              <c:numCache>
                <c:formatCode>0%</c:formatCode>
                <c:ptCount val="2"/>
                <c:pt idx="0">
                  <c:v>0.15</c:v>
                </c:pt>
                <c:pt idx="1">
                  <c:v>0.12</c:v>
                </c:pt>
              </c:numCache>
            </c:numRef>
          </c:val>
        </c:ser>
        <c:ser>
          <c:idx val="3"/>
          <c:order val="1"/>
          <c:tx>
            <c:strRef>
              <c:f>Sheet1!$A$3</c:f>
              <c:strCache>
                <c:ptCount val="1"/>
                <c:pt idx="0">
                  <c:v>2014</c:v>
                </c:pt>
              </c:strCache>
            </c:strRef>
          </c:tx>
          <c:spPr>
            <a:solidFill>
              <a:srgbClr val="C0504D">
                <a:lumMod val="75000"/>
              </a:srgbClr>
            </a:solidFill>
          </c:spPr>
          <c:invertIfNegative val="0"/>
          <c:dLbls>
            <c:txPr>
              <a:bodyPr rot="-5400000" vert="horz"/>
              <a:lstStyle/>
              <a:p>
                <a:pPr>
                  <a:defRPr/>
                </a:pPr>
                <a:endParaRPr lang="fr-FR"/>
              </a:p>
            </c:txPr>
            <c:showLegendKey val="0"/>
            <c:showVal val="1"/>
            <c:showCatName val="0"/>
            <c:showSerName val="0"/>
            <c:showPercent val="0"/>
            <c:showBubbleSize val="0"/>
            <c:showLeaderLines val="0"/>
          </c:dLbls>
          <c:cat>
            <c:strRef>
              <c:f>Sheet1!$B$1:$C$1</c:f>
              <c:strCache>
                <c:ptCount val="2"/>
                <c:pt idx="0">
                  <c:v>COM</c:v>
                </c:pt>
                <c:pt idx="1">
                  <c:v>TRP</c:v>
                </c:pt>
              </c:strCache>
            </c:strRef>
          </c:cat>
          <c:val>
            <c:numRef>
              <c:f>Sheet1!$B$3:$C$3</c:f>
              <c:numCache>
                <c:formatCode>0%</c:formatCode>
                <c:ptCount val="2"/>
                <c:pt idx="0">
                  <c:v>0.05</c:v>
                </c:pt>
                <c:pt idx="1">
                  <c:v>0.11</c:v>
                </c:pt>
              </c:numCache>
            </c:numRef>
          </c:val>
        </c:ser>
        <c:ser>
          <c:idx val="0"/>
          <c:order val="2"/>
          <c:tx>
            <c:strRef>
              <c:f>Sheet1!$A$4</c:f>
              <c:strCache>
                <c:ptCount val="1"/>
                <c:pt idx="0">
                  <c:v>2015</c:v>
                </c:pt>
              </c:strCache>
            </c:strRef>
          </c:tx>
          <c:invertIfNegative val="0"/>
          <c:dLbls>
            <c:dLbl>
              <c:idx val="0"/>
              <c:spPr/>
              <c:txPr>
                <a:bodyPr rot="-5400000"/>
                <a:lstStyle/>
                <a:p>
                  <a:pPr>
                    <a:defRPr/>
                  </a:pPr>
                  <a:endParaRPr lang="fr-FR"/>
                </a:p>
              </c:txPr>
              <c:showLegendKey val="0"/>
              <c:showVal val="1"/>
              <c:showCatName val="0"/>
              <c:showSerName val="0"/>
              <c:showPercent val="0"/>
              <c:showBubbleSize val="0"/>
            </c:dLbl>
            <c:dLbl>
              <c:idx val="1"/>
              <c:spPr/>
              <c:txPr>
                <a:bodyPr rot="-5400000"/>
                <a:lstStyle/>
                <a:p>
                  <a:pPr>
                    <a:defRPr/>
                  </a:pPr>
                  <a:endParaRPr lang="fr-FR"/>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Sheet1!$B$1:$C$1</c:f>
              <c:strCache>
                <c:ptCount val="2"/>
                <c:pt idx="0">
                  <c:v>COM</c:v>
                </c:pt>
                <c:pt idx="1">
                  <c:v>TRP</c:v>
                </c:pt>
              </c:strCache>
            </c:strRef>
          </c:cat>
          <c:val>
            <c:numRef>
              <c:f>Sheet1!$B$4:$C$4</c:f>
              <c:numCache>
                <c:formatCode>0%</c:formatCode>
                <c:ptCount val="2"/>
                <c:pt idx="0">
                  <c:v>5.1282051282051315E-2</c:v>
                </c:pt>
                <c:pt idx="1">
                  <c:v>0.14973005075045887</c:v>
                </c:pt>
              </c:numCache>
            </c:numRef>
          </c:val>
        </c:ser>
        <c:dLbls>
          <c:showLegendKey val="0"/>
          <c:showVal val="1"/>
          <c:showCatName val="0"/>
          <c:showSerName val="0"/>
          <c:showPercent val="0"/>
          <c:showBubbleSize val="0"/>
        </c:dLbls>
        <c:gapWidth val="150"/>
        <c:overlap val="-25"/>
        <c:axId val="123681024"/>
        <c:axId val="123699200"/>
      </c:barChart>
      <c:catAx>
        <c:axId val="123681024"/>
        <c:scaling>
          <c:orientation val="minMax"/>
        </c:scaling>
        <c:delete val="0"/>
        <c:axPos val="b"/>
        <c:numFmt formatCode="General" sourceLinked="1"/>
        <c:majorTickMark val="none"/>
        <c:minorTickMark val="none"/>
        <c:tickLblPos val="nextTo"/>
        <c:txPr>
          <a:bodyPr rot="0" vert="horz"/>
          <a:lstStyle/>
          <a:p>
            <a:pPr>
              <a:defRPr/>
            </a:pPr>
            <a:endParaRPr lang="fr-FR"/>
          </a:p>
        </c:txPr>
        <c:crossAx val="123699200"/>
        <c:crosses val="autoZero"/>
        <c:auto val="1"/>
        <c:lblAlgn val="ctr"/>
        <c:lblOffset val="100"/>
        <c:tickLblSkip val="1"/>
        <c:tickMarkSkip val="1"/>
        <c:noMultiLvlLbl val="0"/>
      </c:catAx>
      <c:valAx>
        <c:axId val="123699200"/>
        <c:scaling>
          <c:orientation val="minMax"/>
        </c:scaling>
        <c:delete val="1"/>
        <c:axPos val="l"/>
        <c:numFmt formatCode="0%" sourceLinked="1"/>
        <c:majorTickMark val="out"/>
        <c:minorTickMark val="none"/>
        <c:tickLblPos val="nextTo"/>
        <c:crossAx val="123681024"/>
        <c:crosses val="autoZero"/>
        <c:crossBetween val="between"/>
      </c:valAx>
      <c:spPr>
        <a:noFill/>
        <a:ln w="25400">
          <a:noFill/>
        </a:ln>
      </c:spPr>
    </c:plotArea>
    <c:plotVisOnly val="1"/>
    <c:dispBlanksAs val="gap"/>
    <c:showDLblsOverMax val="0"/>
  </c:chart>
  <c:spPr>
    <a:ln>
      <a:solidFill>
        <a:sysClr val="window" lastClr="FFFFFF"/>
      </a:solid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6293068921940316"/>
          <c:y val="1.3468011507803669E-2"/>
          <c:w val="0.73648921052498506"/>
          <c:h val="0.80908282028517242"/>
        </c:manualLayout>
      </c:layout>
      <c:barChart>
        <c:barDir val="bar"/>
        <c:grouping val="clustered"/>
        <c:varyColors val="0"/>
        <c:ser>
          <c:idx val="5"/>
          <c:order val="0"/>
          <c:tx>
            <c:strRef>
              <c:f>Sheet1!$B$1</c:f>
              <c:strCache>
                <c:ptCount val="1"/>
                <c:pt idx="0">
                  <c:v>2015</c:v>
                </c:pt>
              </c:strCache>
            </c:strRef>
          </c:tx>
          <c:spPr>
            <a:solidFill>
              <a:schemeClr val="accent1">
                <a:lumMod val="75000"/>
              </a:schemeClr>
            </a:solidFill>
          </c:spPr>
          <c:invertIfNegative val="0"/>
          <c:dLbls>
            <c:dLbl>
              <c:idx val="0"/>
              <c:delete val="1"/>
            </c:dLbl>
            <c:dLbl>
              <c:idx val="5"/>
              <c:delete val="1"/>
            </c:dLbl>
            <c:showLegendKey val="0"/>
            <c:showVal val="1"/>
            <c:showCatName val="0"/>
            <c:showSerName val="0"/>
            <c:showPercent val="0"/>
            <c:showBubbleSize val="0"/>
            <c:showLeaderLines val="0"/>
          </c:dLbls>
          <c:cat>
            <c:strRef>
              <c:f>Sheet1!$A$2:$A$8</c:f>
              <c:strCache>
                <c:ptCount val="7"/>
                <c:pt idx="0">
                  <c:v>Cadres</c:v>
                </c:pt>
                <c:pt idx="1">
                  <c:v>Techniciens/agents de maîtrise</c:v>
                </c:pt>
                <c:pt idx="2">
                  <c:v>Magasiniers</c:v>
                </c:pt>
                <c:pt idx="3">
                  <c:v>Caristes</c:v>
                </c:pt>
                <c:pt idx="4">
                  <c:v>Préparateurs de commandes</c:v>
                </c:pt>
                <c:pt idx="5">
                  <c:v>Manutentionnaires</c:v>
                </c:pt>
                <c:pt idx="6">
                  <c:v>Agents polyvalents d'entrepôt</c:v>
                </c:pt>
              </c:strCache>
            </c:strRef>
          </c:cat>
          <c:val>
            <c:numRef>
              <c:f>Sheet1!$B$2:$B$8</c:f>
              <c:numCache>
                <c:formatCode>0%</c:formatCode>
                <c:ptCount val="7"/>
                <c:pt idx="0">
                  <c:v>0</c:v>
                </c:pt>
                <c:pt idx="1">
                  <c:v>0.33484451083955741</c:v>
                </c:pt>
                <c:pt idx="2">
                  <c:v>0.15796527369747906</c:v>
                </c:pt>
                <c:pt idx="3">
                  <c:v>0.13455446089353854</c:v>
                </c:pt>
                <c:pt idx="4">
                  <c:v>0</c:v>
                </c:pt>
                <c:pt idx="5">
                  <c:v>0</c:v>
                </c:pt>
                <c:pt idx="6">
                  <c:v>0.41269376455862888</c:v>
                </c:pt>
              </c:numCache>
            </c:numRef>
          </c:val>
        </c:ser>
        <c:ser>
          <c:idx val="4"/>
          <c:order val="1"/>
          <c:tx>
            <c:strRef>
              <c:f>Sheet1!$C$1</c:f>
              <c:strCache>
                <c:ptCount val="1"/>
                <c:pt idx="0">
                  <c:v>2014</c:v>
                </c:pt>
              </c:strCache>
            </c:strRef>
          </c:tx>
          <c:spPr>
            <a:solidFill>
              <a:schemeClr val="accent2">
                <a:lumMod val="75000"/>
              </a:schemeClr>
            </a:solidFill>
          </c:spPr>
          <c:invertIfNegative val="0"/>
          <c:dLbls>
            <c:dLbl>
              <c:idx val="0"/>
              <c:delete val="1"/>
            </c:dLbl>
            <c:dLbl>
              <c:idx val="5"/>
              <c:delete val="1"/>
            </c:dLbl>
            <c:dLbl>
              <c:idx val="6"/>
              <c:delete val="1"/>
            </c:dLbl>
            <c:showLegendKey val="0"/>
            <c:showVal val="1"/>
            <c:showCatName val="0"/>
            <c:showSerName val="0"/>
            <c:showPercent val="0"/>
            <c:showBubbleSize val="0"/>
            <c:showLeaderLines val="0"/>
          </c:dLbls>
          <c:cat>
            <c:strRef>
              <c:f>Sheet1!$A$2:$A$8</c:f>
              <c:strCache>
                <c:ptCount val="7"/>
                <c:pt idx="0">
                  <c:v>Cadres</c:v>
                </c:pt>
                <c:pt idx="1">
                  <c:v>Techniciens/agents de maîtrise</c:v>
                </c:pt>
                <c:pt idx="2">
                  <c:v>Magasiniers</c:v>
                </c:pt>
                <c:pt idx="3">
                  <c:v>Caristes</c:v>
                </c:pt>
                <c:pt idx="4">
                  <c:v>Préparateurs de commandes</c:v>
                </c:pt>
                <c:pt idx="5">
                  <c:v>Manutentionnaires</c:v>
                </c:pt>
                <c:pt idx="6">
                  <c:v>Agents polyvalents d'entrepôt</c:v>
                </c:pt>
              </c:strCache>
            </c:strRef>
          </c:cat>
          <c:val>
            <c:numRef>
              <c:f>Sheet1!$C$2:$C$8</c:f>
              <c:numCache>
                <c:formatCode>0%</c:formatCode>
                <c:ptCount val="7"/>
                <c:pt idx="0">
                  <c:v>0</c:v>
                </c:pt>
                <c:pt idx="1">
                  <c:v>0.19</c:v>
                </c:pt>
                <c:pt idx="2">
                  <c:v>0.33</c:v>
                </c:pt>
                <c:pt idx="3">
                  <c:v>0.05</c:v>
                </c:pt>
                <c:pt idx="4">
                  <c:v>0.19</c:v>
                </c:pt>
                <c:pt idx="5">
                  <c:v>0</c:v>
                </c:pt>
                <c:pt idx="6">
                  <c:v>0.05</c:v>
                </c:pt>
              </c:numCache>
            </c:numRef>
          </c:val>
        </c:ser>
        <c:ser>
          <c:idx val="0"/>
          <c:order val="2"/>
          <c:tx>
            <c:strRef>
              <c:f>Sheet1!$D$1</c:f>
              <c:strCache>
                <c:ptCount val="1"/>
                <c:pt idx="0">
                  <c:v>2013</c:v>
                </c:pt>
              </c:strCache>
            </c:strRef>
          </c:tx>
          <c:spPr>
            <a:solidFill>
              <a:schemeClr val="accent3">
                <a:lumMod val="75000"/>
              </a:schemeClr>
            </a:solidFill>
          </c:spPr>
          <c:invertIfNegative val="0"/>
          <c:dLbls>
            <c:dLbl>
              <c:idx val="0"/>
              <c:delete val="1"/>
            </c:dLbl>
            <c:showLegendKey val="0"/>
            <c:showVal val="1"/>
            <c:showCatName val="0"/>
            <c:showSerName val="0"/>
            <c:showPercent val="0"/>
            <c:showBubbleSize val="0"/>
            <c:showLeaderLines val="0"/>
          </c:dLbls>
          <c:cat>
            <c:strRef>
              <c:f>Sheet1!$A$2:$A$8</c:f>
              <c:strCache>
                <c:ptCount val="7"/>
                <c:pt idx="0">
                  <c:v>Cadres</c:v>
                </c:pt>
                <c:pt idx="1">
                  <c:v>Techniciens/agents de maîtrise</c:v>
                </c:pt>
                <c:pt idx="2">
                  <c:v>Magasiniers</c:v>
                </c:pt>
                <c:pt idx="3">
                  <c:v>Caristes</c:v>
                </c:pt>
                <c:pt idx="4">
                  <c:v>Préparateurs de commandes</c:v>
                </c:pt>
                <c:pt idx="5">
                  <c:v>Manutentionnaires</c:v>
                </c:pt>
                <c:pt idx="6">
                  <c:v>Agents polyvalents d'entrepôt</c:v>
                </c:pt>
              </c:strCache>
            </c:strRef>
          </c:cat>
          <c:val>
            <c:numRef>
              <c:f>Sheet1!$D$2:$D$8</c:f>
              <c:numCache>
                <c:formatCode>0%</c:formatCode>
                <c:ptCount val="7"/>
                <c:pt idx="0">
                  <c:v>0</c:v>
                </c:pt>
                <c:pt idx="1">
                  <c:v>0.44</c:v>
                </c:pt>
                <c:pt idx="2">
                  <c:v>0.03</c:v>
                </c:pt>
                <c:pt idx="3">
                  <c:v>0.03</c:v>
                </c:pt>
                <c:pt idx="4">
                  <c:v>0.21</c:v>
                </c:pt>
                <c:pt idx="5">
                  <c:v>0</c:v>
                </c:pt>
                <c:pt idx="6">
                  <c:v>0</c:v>
                </c:pt>
              </c:numCache>
            </c:numRef>
          </c:val>
        </c:ser>
        <c:dLbls>
          <c:showLegendKey val="0"/>
          <c:showVal val="1"/>
          <c:showCatName val="0"/>
          <c:showSerName val="0"/>
          <c:showPercent val="0"/>
          <c:showBubbleSize val="0"/>
        </c:dLbls>
        <c:gapWidth val="82"/>
        <c:axId val="130987904"/>
        <c:axId val="130989440"/>
      </c:barChart>
      <c:catAx>
        <c:axId val="130987904"/>
        <c:scaling>
          <c:orientation val="minMax"/>
        </c:scaling>
        <c:delete val="0"/>
        <c:axPos val="l"/>
        <c:numFmt formatCode="General" sourceLinked="1"/>
        <c:majorTickMark val="out"/>
        <c:minorTickMark val="none"/>
        <c:tickLblPos val="low"/>
        <c:txPr>
          <a:bodyPr rot="0" vert="horz"/>
          <a:lstStyle/>
          <a:p>
            <a:pPr>
              <a:defRPr/>
            </a:pPr>
            <a:endParaRPr lang="fr-FR"/>
          </a:p>
        </c:txPr>
        <c:crossAx val="130989440"/>
        <c:crosses val="autoZero"/>
        <c:auto val="1"/>
        <c:lblAlgn val="ctr"/>
        <c:lblOffset val="100"/>
        <c:noMultiLvlLbl val="0"/>
      </c:catAx>
      <c:valAx>
        <c:axId val="130989440"/>
        <c:scaling>
          <c:orientation val="minMax"/>
        </c:scaling>
        <c:delete val="1"/>
        <c:axPos val="b"/>
        <c:numFmt formatCode="0%" sourceLinked="1"/>
        <c:majorTickMark val="out"/>
        <c:minorTickMark val="none"/>
        <c:tickLblPos val="nextTo"/>
        <c:crossAx val="130987904"/>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9347560526896754"/>
          <c:y val="1.3468013468013467E-2"/>
          <c:w val="0.70594426864866189"/>
          <c:h val="0.84112225343366276"/>
        </c:manualLayout>
      </c:layout>
      <c:barChart>
        <c:barDir val="bar"/>
        <c:grouping val="clustered"/>
        <c:varyColors val="0"/>
        <c:ser>
          <c:idx val="5"/>
          <c:order val="0"/>
          <c:tx>
            <c:strRef>
              <c:f>Sheet1!$B$1</c:f>
              <c:strCache>
                <c:ptCount val="1"/>
                <c:pt idx="0">
                  <c:v>2015</c:v>
                </c:pt>
              </c:strCache>
            </c:strRef>
          </c:tx>
          <c:spPr>
            <a:solidFill>
              <a:schemeClr val="accent1">
                <a:lumMod val="75000"/>
              </a:schemeClr>
            </a:solidFill>
          </c:spPr>
          <c:invertIfNegative val="0"/>
          <c:cat>
            <c:strRef>
              <c:f>Sheet1!$A$2:$A$8</c:f>
              <c:strCache>
                <c:ptCount val="7"/>
                <c:pt idx="0">
                  <c:v>Cadres</c:v>
                </c:pt>
                <c:pt idx="1">
                  <c:v>Techniciens/agents de maîtrise</c:v>
                </c:pt>
                <c:pt idx="2">
                  <c:v>Magasiniers</c:v>
                </c:pt>
                <c:pt idx="3">
                  <c:v>Caristes</c:v>
                </c:pt>
                <c:pt idx="4">
                  <c:v>Préparateurs de commandes</c:v>
                </c:pt>
                <c:pt idx="5">
                  <c:v>Manutentionnaires</c:v>
                </c:pt>
                <c:pt idx="6">
                  <c:v>Agents polyvalents d'entrepôt</c:v>
                </c:pt>
              </c:strCache>
            </c:strRef>
          </c:cat>
          <c:val>
            <c:numRef>
              <c:f>Sheet1!$B$2:$B$8</c:f>
              <c:numCache>
                <c:formatCode>0%</c:formatCode>
                <c:ptCount val="7"/>
                <c:pt idx="0">
                  <c:v>0.17870159993813825</c:v>
                </c:pt>
                <c:pt idx="1">
                  <c:v>0.44004864368334567</c:v>
                </c:pt>
                <c:pt idx="2">
                  <c:v>7.6868864232055842E-2</c:v>
                </c:pt>
                <c:pt idx="3">
                  <c:v>5.7099992668782122E-2</c:v>
                </c:pt>
                <c:pt idx="4">
                  <c:v>0.10204733222992902</c:v>
                </c:pt>
                <c:pt idx="5">
                  <c:v>3.1234779275889229E-2</c:v>
                </c:pt>
                <c:pt idx="6">
                  <c:v>0.14890527047614324</c:v>
                </c:pt>
              </c:numCache>
            </c:numRef>
          </c:val>
        </c:ser>
        <c:ser>
          <c:idx val="4"/>
          <c:order val="1"/>
          <c:tx>
            <c:strRef>
              <c:f>Sheet1!$C$1</c:f>
              <c:strCache>
                <c:ptCount val="1"/>
                <c:pt idx="0">
                  <c:v>2014</c:v>
                </c:pt>
              </c:strCache>
            </c:strRef>
          </c:tx>
          <c:spPr>
            <a:solidFill>
              <a:schemeClr val="accent2">
                <a:lumMod val="75000"/>
              </a:schemeClr>
            </a:solidFill>
          </c:spPr>
          <c:invertIfNegative val="0"/>
          <c:cat>
            <c:strRef>
              <c:f>Sheet1!$A$2:$A$8</c:f>
              <c:strCache>
                <c:ptCount val="7"/>
                <c:pt idx="0">
                  <c:v>Cadres</c:v>
                </c:pt>
                <c:pt idx="1">
                  <c:v>Techniciens/agents de maîtrise</c:v>
                </c:pt>
                <c:pt idx="2">
                  <c:v>Magasiniers</c:v>
                </c:pt>
                <c:pt idx="3">
                  <c:v>Caristes</c:v>
                </c:pt>
                <c:pt idx="4">
                  <c:v>Préparateurs de commandes</c:v>
                </c:pt>
                <c:pt idx="5">
                  <c:v>Manutentionnaires</c:v>
                </c:pt>
                <c:pt idx="6">
                  <c:v>Agents polyvalents d'entrepôt</c:v>
                </c:pt>
              </c:strCache>
            </c:strRef>
          </c:cat>
          <c:val>
            <c:numRef>
              <c:f>Sheet1!$C$2:$C$8</c:f>
              <c:numCache>
                <c:formatCode>0%</c:formatCode>
                <c:ptCount val="7"/>
                <c:pt idx="0">
                  <c:v>0.16</c:v>
                </c:pt>
                <c:pt idx="1">
                  <c:v>0.4</c:v>
                </c:pt>
                <c:pt idx="2">
                  <c:v>0.04</c:v>
                </c:pt>
                <c:pt idx="3">
                  <c:v>0.05</c:v>
                </c:pt>
                <c:pt idx="4">
                  <c:v>0.14000000000000001</c:v>
                </c:pt>
                <c:pt idx="5">
                  <c:v>0.04</c:v>
                </c:pt>
                <c:pt idx="6">
                  <c:v>0.1</c:v>
                </c:pt>
              </c:numCache>
            </c:numRef>
          </c:val>
        </c:ser>
        <c:ser>
          <c:idx val="0"/>
          <c:order val="2"/>
          <c:tx>
            <c:strRef>
              <c:f>Sheet1!$D$1</c:f>
              <c:strCache>
                <c:ptCount val="1"/>
                <c:pt idx="0">
                  <c:v>2013</c:v>
                </c:pt>
              </c:strCache>
            </c:strRef>
          </c:tx>
          <c:spPr>
            <a:solidFill>
              <a:schemeClr val="accent3">
                <a:lumMod val="75000"/>
              </a:schemeClr>
            </a:solidFill>
          </c:spPr>
          <c:invertIfNegative val="0"/>
          <c:cat>
            <c:strRef>
              <c:f>Sheet1!$A$2:$A$8</c:f>
              <c:strCache>
                <c:ptCount val="7"/>
                <c:pt idx="0">
                  <c:v>Cadres</c:v>
                </c:pt>
                <c:pt idx="1">
                  <c:v>Techniciens/agents de maîtrise</c:v>
                </c:pt>
                <c:pt idx="2">
                  <c:v>Magasiniers</c:v>
                </c:pt>
                <c:pt idx="3">
                  <c:v>Caristes</c:v>
                </c:pt>
                <c:pt idx="4">
                  <c:v>Préparateurs de commandes</c:v>
                </c:pt>
                <c:pt idx="5">
                  <c:v>Manutentionnaires</c:v>
                </c:pt>
                <c:pt idx="6">
                  <c:v>Agents polyvalents d'entrepôt</c:v>
                </c:pt>
              </c:strCache>
            </c:strRef>
          </c:cat>
          <c:val>
            <c:numRef>
              <c:f>Sheet1!$D$2:$D$8</c:f>
              <c:numCache>
                <c:formatCode>0%</c:formatCode>
                <c:ptCount val="7"/>
                <c:pt idx="0">
                  <c:v>0.1</c:v>
                </c:pt>
                <c:pt idx="1">
                  <c:v>0.45</c:v>
                </c:pt>
                <c:pt idx="2">
                  <c:v>0.1</c:v>
                </c:pt>
                <c:pt idx="3">
                  <c:v>0.1</c:v>
                </c:pt>
                <c:pt idx="4">
                  <c:v>0.14000000000000001</c:v>
                </c:pt>
                <c:pt idx="5">
                  <c:v>7.0000000000000007E-2</c:v>
                </c:pt>
                <c:pt idx="6">
                  <c:v>0.15</c:v>
                </c:pt>
              </c:numCache>
            </c:numRef>
          </c:val>
        </c:ser>
        <c:dLbls>
          <c:showLegendKey val="0"/>
          <c:showVal val="1"/>
          <c:showCatName val="0"/>
          <c:showSerName val="0"/>
          <c:showPercent val="0"/>
          <c:showBubbleSize val="0"/>
        </c:dLbls>
        <c:gapWidth val="82"/>
        <c:axId val="132175744"/>
        <c:axId val="132177280"/>
      </c:barChart>
      <c:catAx>
        <c:axId val="132175744"/>
        <c:scaling>
          <c:orientation val="minMax"/>
        </c:scaling>
        <c:delete val="0"/>
        <c:axPos val="l"/>
        <c:numFmt formatCode="General" sourceLinked="1"/>
        <c:majorTickMark val="out"/>
        <c:minorTickMark val="none"/>
        <c:tickLblPos val="low"/>
        <c:txPr>
          <a:bodyPr rot="0" vert="horz"/>
          <a:lstStyle/>
          <a:p>
            <a:pPr>
              <a:defRPr/>
            </a:pPr>
            <a:endParaRPr lang="fr-FR"/>
          </a:p>
        </c:txPr>
        <c:crossAx val="132177280"/>
        <c:crosses val="autoZero"/>
        <c:auto val="1"/>
        <c:lblAlgn val="ctr"/>
        <c:lblOffset val="100"/>
        <c:noMultiLvlLbl val="0"/>
      </c:catAx>
      <c:valAx>
        <c:axId val="132177280"/>
        <c:scaling>
          <c:orientation val="minMax"/>
        </c:scaling>
        <c:delete val="1"/>
        <c:axPos val="b"/>
        <c:numFmt formatCode="0%" sourceLinked="1"/>
        <c:majorTickMark val="out"/>
        <c:minorTickMark val="none"/>
        <c:tickLblPos val="nextTo"/>
        <c:crossAx val="132175744"/>
        <c:crosses val="autoZero"/>
        <c:crossBetween val="between"/>
      </c:valAx>
    </c:plotArea>
    <c:legend>
      <c:legendPos val="r"/>
      <c:layout>
        <c:manualLayout>
          <c:xMode val="edge"/>
          <c:yMode val="edge"/>
          <c:x val="0.87210223945166265"/>
          <c:y val="0.24895939763536951"/>
          <c:w val="0.10481266344439186"/>
          <c:h val="0.27984679847424637"/>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Feuil1!$B$1:$H$1</c:f>
              <c:strCache>
                <c:ptCount val="7"/>
                <c:pt idx="0">
                  <c:v>2008</c:v>
                </c:pt>
                <c:pt idx="1">
                  <c:v>2009</c:v>
                </c:pt>
                <c:pt idx="2">
                  <c:v>2010</c:v>
                </c:pt>
                <c:pt idx="3">
                  <c:v>2011</c:v>
                </c:pt>
                <c:pt idx="4">
                  <c:v>2012</c:v>
                </c:pt>
                <c:pt idx="5">
                  <c:v>2013</c:v>
                </c:pt>
                <c:pt idx="6">
                  <c:v>2014</c:v>
                </c:pt>
              </c:strCache>
            </c:strRef>
          </c:cat>
          <c:val>
            <c:numRef>
              <c:f>Feuil1!$B$2:$H$2</c:f>
              <c:numCache>
                <c:formatCode>0%</c:formatCode>
                <c:ptCount val="7"/>
                <c:pt idx="0">
                  <c:v>0.67</c:v>
                </c:pt>
                <c:pt idx="1">
                  <c:v>0.69</c:v>
                </c:pt>
                <c:pt idx="2">
                  <c:v>0.56999999999999995</c:v>
                </c:pt>
                <c:pt idx="3">
                  <c:v>0.65</c:v>
                </c:pt>
                <c:pt idx="4">
                  <c:v>0.51</c:v>
                </c:pt>
                <c:pt idx="5">
                  <c:v>0.53</c:v>
                </c:pt>
                <c:pt idx="6">
                  <c:v>0.61</c:v>
                </c:pt>
              </c:numCache>
            </c:numRef>
          </c:val>
        </c:ser>
        <c:dLbls>
          <c:showLegendKey val="0"/>
          <c:showVal val="0"/>
          <c:showCatName val="0"/>
          <c:showSerName val="0"/>
          <c:showPercent val="0"/>
          <c:showBubbleSize val="0"/>
        </c:dLbls>
        <c:gapWidth val="90"/>
        <c:axId val="132210048"/>
        <c:axId val="132248704"/>
      </c:barChart>
      <c:catAx>
        <c:axId val="132210048"/>
        <c:scaling>
          <c:orientation val="minMax"/>
        </c:scaling>
        <c:delete val="0"/>
        <c:axPos val="b"/>
        <c:numFmt formatCode="General" sourceLinked="1"/>
        <c:majorTickMark val="out"/>
        <c:minorTickMark val="none"/>
        <c:tickLblPos val="nextTo"/>
        <c:crossAx val="132248704"/>
        <c:crosses val="autoZero"/>
        <c:auto val="1"/>
        <c:lblAlgn val="ctr"/>
        <c:lblOffset val="100"/>
        <c:noMultiLvlLbl val="0"/>
      </c:catAx>
      <c:valAx>
        <c:axId val="132248704"/>
        <c:scaling>
          <c:orientation val="minMax"/>
        </c:scaling>
        <c:delete val="1"/>
        <c:axPos val="l"/>
        <c:numFmt formatCode="0%" sourceLinked="1"/>
        <c:majorTickMark val="out"/>
        <c:minorTickMark val="none"/>
        <c:tickLblPos val="nextTo"/>
        <c:crossAx val="13221004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manualLayout>
          <c:layoutTarget val="inner"/>
          <c:xMode val="edge"/>
          <c:yMode val="edge"/>
          <c:x val="3.113941967445152E-2"/>
          <c:y val="0.1938242265171399"/>
          <c:w val="0.93772116065109701"/>
          <c:h val="0.60746743020758764"/>
        </c:manualLayout>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Feuil1!$B$1:$H$1</c:f>
              <c:strCache>
                <c:ptCount val="7"/>
                <c:pt idx="0">
                  <c:v>2008</c:v>
                </c:pt>
                <c:pt idx="1">
                  <c:v>2009</c:v>
                </c:pt>
                <c:pt idx="2">
                  <c:v>2010</c:v>
                </c:pt>
                <c:pt idx="3">
                  <c:v>2011</c:v>
                </c:pt>
                <c:pt idx="4">
                  <c:v>2012</c:v>
                </c:pt>
                <c:pt idx="5">
                  <c:v>2013</c:v>
                </c:pt>
                <c:pt idx="6">
                  <c:v>2014</c:v>
                </c:pt>
              </c:strCache>
            </c:strRef>
          </c:cat>
          <c:val>
            <c:numRef>
              <c:f>Feuil1!$B$2:$H$2</c:f>
              <c:numCache>
                <c:formatCode>0%</c:formatCode>
                <c:ptCount val="7"/>
                <c:pt idx="0">
                  <c:v>0.55000000000000004</c:v>
                </c:pt>
                <c:pt idx="1">
                  <c:v>0.53</c:v>
                </c:pt>
                <c:pt idx="2">
                  <c:v>0.5</c:v>
                </c:pt>
                <c:pt idx="3">
                  <c:v>0.6</c:v>
                </c:pt>
                <c:pt idx="4">
                  <c:v>0.41</c:v>
                </c:pt>
                <c:pt idx="5">
                  <c:v>0.55000000000000004</c:v>
                </c:pt>
                <c:pt idx="6">
                  <c:v>0.56999999999999995</c:v>
                </c:pt>
              </c:numCache>
            </c:numRef>
          </c:val>
        </c:ser>
        <c:dLbls>
          <c:showLegendKey val="0"/>
          <c:showVal val="0"/>
          <c:showCatName val="0"/>
          <c:showSerName val="0"/>
          <c:showPercent val="0"/>
          <c:showBubbleSize val="0"/>
        </c:dLbls>
        <c:gapWidth val="90"/>
        <c:axId val="132276992"/>
        <c:axId val="132278528"/>
      </c:barChart>
      <c:catAx>
        <c:axId val="132276992"/>
        <c:scaling>
          <c:orientation val="minMax"/>
        </c:scaling>
        <c:delete val="0"/>
        <c:axPos val="b"/>
        <c:numFmt formatCode="General" sourceLinked="1"/>
        <c:majorTickMark val="out"/>
        <c:minorTickMark val="none"/>
        <c:tickLblPos val="nextTo"/>
        <c:crossAx val="132278528"/>
        <c:crosses val="autoZero"/>
        <c:auto val="1"/>
        <c:lblAlgn val="ctr"/>
        <c:lblOffset val="100"/>
        <c:noMultiLvlLbl val="0"/>
      </c:catAx>
      <c:valAx>
        <c:axId val="132278528"/>
        <c:scaling>
          <c:orientation val="minMax"/>
        </c:scaling>
        <c:delete val="1"/>
        <c:axPos val="l"/>
        <c:numFmt formatCode="0%" sourceLinked="1"/>
        <c:majorTickMark val="out"/>
        <c:minorTickMark val="none"/>
        <c:tickLblPos val="nextTo"/>
        <c:crossAx val="13227699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657800127925186"/>
          <c:y val="3.4797509815405292E-3"/>
          <c:w val="0.88316910906969959"/>
          <c:h val="0.94047619047619047"/>
        </c:manualLayout>
      </c:layout>
      <c:barChart>
        <c:barDir val="bar"/>
        <c:grouping val="percentStacked"/>
        <c:varyColors val="0"/>
        <c:ser>
          <c:idx val="0"/>
          <c:order val="0"/>
          <c:tx>
            <c:strRef>
              <c:f>Feuil1!$A$2</c:f>
              <c:strCache>
                <c:ptCount val="1"/>
                <c:pt idx="0">
                  <c:v>Augmenter</c:v>
                </c:pt>
              </c:strCache>
            </c:strRef>
          </c:tx>
          <c:spPr>
            <a:solidFill>
              <a:schemeClr val="accent1">
                <a:lumMod val="60000"/>
                <a:lumOff val="40000"/>
              </a:schemeClr>
            </a:solidFill>
          </c:spPr>
          <c:invertIfNegative val="0"/>
          <c:cat>
            <c:strRef>
              <c:f>Feuil1!$B$1:$I$1</c:f>
              <c:strCache>
                <c:ptCount val="8"/>
                <c:pt idx="0">
                  <c:v>IAA</c:v>
                </c:pt>
                <c:pt idx="1">
                  <c:v>PHAR</c:v>
                </c:pt>
                <c:pt idx="2">
                  <c:v>AUTO</c:v>
                </c:pt>
                <c:pt idx="3">
                  <c:v>IEM</c:v>
                </c:pt>
                <c:pt idx="4">
                  <c:v>CHIM</c:v>
                </c:pt>
                <c:pt idx="5">
                  <c:v>COM</c:v>
                </c:pt>
                <c:pt idx="6">
                  <c:v>TRP</c:v>
                </c:pt>
                <c:pt idx="7">
                  <c:v>Total</c:v>
                </c:pt>
              </c:strCache>
            </c:strRef>
          </c:cat>
          <c:val>
            <c:numRef>
              <c:f>Feuil1!$B$2:$I$2</c:f>
              <c:numCache>
                <c:formatCode>0%</c:formatCode>
                <c:ptCount val="8"/>
                <c:pt idx="0">
                  <c:v>0.17405814000241232</c:v>
                </c:pt>
                <c:pt idx="1">
                  <c:v>0.11287379204512465</c:v>
                </c:pt>
                <c:pt idx="2">
                  <c:v>0.25288331726133073</c:v>
                </c:pt>
                <c:pt idx="3">
                  <c:v>0.21547729379054686</c:v>
                </c:pt>
                <c:pt idx="4">
                  <c:v>0.18784419215453699</c:v>
                </c:pt>
                <c:pt idx="5">
                  <c:v>0.15747338972104227</c:v>
                </c:pt>
                <c:pt idx="6">
                  <c:v>0.16637931034482756</c:v>
                </c:pt>
                <c:pt idx="7">
                  <c:v>0.1808472370477226</c:v>
                </c:pt>
              </c:numCache>
            </c:numRef>
          </c:val>
        </c:ser>
        <c:ser>
          <c:idx val="1"/>
          <c:order val="1"/>
          <c:tx>
            <c:strRef>
              <c:f>Feuil1!$A$3</c:f>
              <c:strCache>
                <c:ptCount val="1"/>
                <c:pt idx="0">
                  <c:v>Rester stables</c:v>
                </c:pt>
              </c:strCache>
            </c:strRef>
          </c:tx>
          <c:spPr>
            <a:solidFill>
              <a:schemeClr val="accent2">
                <a:lumMod val="60000"/>
                <a:lumOff val="40000"/>
              </a:schemeClr>
            </a:solidFill>
          </c:spPr>
          <c:invertIfNegative val="0"/>
          <c:cat>
            <c:strRef>
              <c:f>Feuil1!$B$1:$I$1</c:f>
              <c:strCache>
                <c:ptCount val="8"/>
                <c:pt idx="0">
                  <c:v>IAA</c:v>
                </c:pt>
                <c:pt idx="1">
                  <c:v>PHAR</c:v>
                </c:pt>
                <c:pt idx="2">
                  <c:v>AUTO</c:v>
                </c:pt>
                <c:pt idx="3">
                  <c:v>IEM</c:v>
                </c:pt>
                <c:pt idx="4">
                  <c:v>CHIM</c:v>
                </c:pt>
                <c:pt idx="5">
                  <c:v>COM</c:v>
                </c:pt>
                <c:pt idx="6">
                  <c:v>TRP</c:v>
                </c:pt>
                <c:pt idx="7">
                  <c:v>Total</c:v>
                </c:pt>
              </c:strCache>
            </c:strRef>
          </c:cat>
          <c:val>
            <c:numRef>
              <c:f>Feuil1!$B$3:$I$3</c:f>
              <c:numCache>
                <c:formatCode>0%</c:formatCode>
                <c:ptCount val="8"/>
                <c:pt idx="0">
                  <c:v>0.53258078350957638</c:v>
                </c:pt>
                <c:pt idx="1">
                  <c:v>0.56169383269047313</c:v>
                </c:pt>
                <c:pt idx="2">
                  <c:v>0.60702025072324028</c:v>
                </c:pt>
                <c:pt idx="3">
                  <c:v>0.67168674698795172</c:v>
                </c:pt>
                <c:pt idx="4">
                  <c:v>0.55425451761658651</c:v>
                </c:pt>
                <c:pt idx="5">
                  <c:v>0.58312607124226856</c:v>
                </c:pt>
                <c:pt idx="6">
                  <c:v>0.54995828698553961</c:v>
                </c:pt>
                <c:pt idx="7">
                  <c:v>0.58316820042855499</c:v>
                </c:pt>
              </c:numCache>
            </c:numRef>
          </c:val>
        </c:ser>
        <c:ser>
          <c:idx val="2"/>
          <c:order val="2"/>
          <c:tx>
            <c:strRef>
              <c:f>Feuil1!$A$4</c:f>
              <c:strCache>
                <c:ptCount val="1"/>
                <c:pt idx="0">
                  <c:v>Diminuer</c:v>
                </c:pt>
              </c:strCache>
            </c:strRef>
          </c:tx>
          <c:spPr>
            <a:solidFill>
              <a:schemeClr val="accent3">
                <a:lumMod val="60000"/>
                <a:lumOff val="40000"/>
              </a:schemeClr>
            </a:solidFill>
          </c:spPr>
          <c:invertIfNegative val="0"/>
          <c:dLbls>
            <c:spPr>
              <a:noFill/>
            </c:spPr>
            <c:dLblPos val="ctr"/>
            <c:showLegendKey val="0"/>
            <c:showVal val="1"/>
            <c:showCatName val="0"/>
            <c:showSerName val="0"/>
            <c:showPercent val="0"/>
            <c:showBubbleSize val="0"/>
            <c:showLeaderLines val="0"/>
          </c:dLbls>
          <c:cat>
            <c:strRef>
              <c:f>Feuil1!$B$1:$I$1</c:f>
              <c:strCache>
                <c:ptCount val="8"/>
                <c:pt idx="0">
                  <c:v>IAA</c:v>
                </c:pt>
                <c:pt idx="1">
                  <c:v>PHAR</c:v>
                </c:pt>
                <c:pt idx="2">
                  <c:v>AUTO</c:v>
                </c:pt>
                <c:pt idx="3">
                  <c:v>IEM</c:v>
                </c:pt>
                <c:pt idx="4">
                  <c:v>CHIM</c:v>
                </c:pt>
                <c:pt idx="5">
                  <c:v>COM</c:v>
                </c:pt>
                <c:pt idx="6">
                  <c:v>TRP</c:v>
                </c:pt>
                <c:pt idx="7">
                  <c:v>Total</c:v>
                </c:pt>
              </c:strCache>
            </c:strRef>
          </c:cat>
          <c:val>
            <c:numRef>
              <c:f>Feuil1!$B$4:$I$4</c:f>
              <c:numCache>
                <c:formatCode>0%</c:formatCode>
                <c:ptCount val="8"/>
                <c:pt idx="0">
                  <c:v>3.2846822939702182E-2</c:v>
                </c:pt>
                <c:pt idx="1">
                  <c:v>0.18885570901248394</c:v>
                </c:pt>
                <c:pt idx="2">
                  <c:v>2.4918032786885241E-2</c:v>
                </c:pt>
                <c:pt idx="3">
                  <c:v>7.869941303676245E-2</c:v>
                </c:pt>
                <c:pt idx="4">
                  <c:v>6.1863433630675008E-2</c:v>
                </c:pt>
                <c:pt idx="5">
                  <c:v>5.0659667883846279E-2</c:v>
                </c:pt>
                <c:pt idx="6">
                  <c:v>0.11776510938079347</c:v>
                </c:pt>
                <c:pt idx="7">
                  <c:v>7.2010316928645041E-2</c:v>
                </c:pt>
              </c:numCache>
            </c:numRef>
          </c:val>
        </c:ser>
        <c:ser>
          <c:idx val="3"/>
          <c:order val="3"/>
          <c:tx>
            <c:strRef>
              <c:f>Feuil1!$A$5</c:f>
              <c:strCache>
                <c:ptCount val="1"/>
                <c:pt idx="0">
                  <c:v>Ne sait pas</c:v>
                </c:pt>
              </c:strCache>
            </c:strRef>
          </c:tx>
          <c:spPr>
            <a:solidFill>
              <a:schemeClr val="accent4">
                <a:lumMod val="60000"/>
                <a:lumOff val="40000"/>
              </a:schemeClr>
            </a:solidFill>
          </c:spPr>
          <c:invertIfNegative val="0"/>
          <c:cat>
            <c:strRef>
              <c:f>Feuil1!$B$1:$I$1</c:f>
              <c:strCache>
                <c:ptCount val="8"/>
                <c:pt idx="0">
                  <c:v>IAA</c:v>
                </c:pt>
                <c:pt idx="1">
                  <c:v>PHAR</c:v>
                </c:pt>
                <c:pt idx="2">
                  <c:v>AUTO</c:v>
                </c:pt>
                <c:pt idx="3">
                  <c:v>IEM</c:v>
                </c:pt>
                <c:pt idx="4">
                  <c:v>CHIM</c:v>
                </c:pt>
                <c:pt idx="5">
                  <c:v>COM</c:v>
                </c:pt>
                <c:pt idx="6">
                  <c:v>TRP</c:v>
                </c:pt>
                <c:pt idx="7">
                  <c:v>Total</c:v>
                </c:pt>
              </c:strCache>
            </c:strRef>
          </c:cat>
          <c:val>
            <c:numRef>
              <c:f>Feuil1!$B$5:$I$5</c:f>
              <c:numCache>
                <c:formatCode>0%</c:formatCode>
                <c:ptCount val="8"/>
                <c:pt idx="0">
                  <c:v>0.26051425354830915</c:v>
                </c:pt>
                <c:pt idx="1">
                  <c:v>0.13657666625191822</c:v>
                </c:pt>
                <c:pt idx="2">
                  <c:v>0.11517839922854387</c:v>
                </c:pt>
                <c:pt idx="3">
                  <c:v>3.4136546184738964E-2</c:v>
                </c:pt>
                <c:pt idx="4">
                  <c:v>0.19603785659820142</c:v>
                </c:pt>
                <c:pt idx="5">
                  <c:v>0.20874087115284298</c:v>
                </c:pt>
                <c:pt idx="6">
                  <c:v>0.16589729328883943</c:v>
                </c:pt>
                <c:pt idx="7">
                  <c:v>0.16397424559507734</c:v>
                </c:pt>
              </c:numCache>
            </c:numRef>
          </c:val>
        </c:ser>
        <c:dLbls>
          <c:dLblPos val="ctr"/>
          <c:showLegendKey val="0"/>
          <c:showVal val="1"/>
          <c:showCatName val="0"/>
          <c:showSerName val="0"/>
          <c:showPercent val="0"/>
          <c:showBubbleSize val="0"/>
        </c:dLbls>
        <c:gapWidth val="40"/>
        <c:overlap val="100"/>
        <c:axId val="132327680"/>
        <c:axId val="132358144"/>
      </c:barChart>
      <c:catAx>
        <c:axId val="132327680"/>
        <c:scaling>
          <c:orientation val="minMax"/>
        </c:scaling>
        <c:delete val="0"/>
        <c:axPos val="l"/>
        <c:majorTickMark val="out"/>
        <c:minorTickMark val="none"/>
        <c:tickLblPos val="nextTo"/>
        <c:crossAx val="132358144"/>
        <c:crosses val="autoZero"/>
        <c:auto val="1"/>
        <c:lblAlgn val="ctr"/>
        <c:lblOffset val="100"/>
        <c:noMultiLvlLbl val="0"/>
      </c:catAx>
      <c:valAx>
        <c:axId val="132358144"/>
        <c:scaling>
          <c:orientation val="minMax"/>
        </c:scaling>
        <c:delete val="1"/>
        <c:axPos val="b"/>
        <c:numFmt formatCode="0%" sourceLinked="1"/>
        <c:majorTickMark val="out"/>
        <c:minorTickMark val="none"/>
        <c:tickLblPos val="nextTo"/>
        <c:crossAx val="132327680"/>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manualLayout>
          <c:layoutTarget val="inner"/>
          <c:xMode val="edge"/>
          <c:yMode val="edge"/>
          <c:x val="3.5282009837038532E-2"/>
          <c:y val="9.22722029988466E-2"/>
          <c:w val="0.92943598032592289"/>
          <c:h val="0.67345085324542042"/>
        </c:manualLayout>
      </c:layout>
      <c:barChart>
        <c:barDir val="col"/>
        <c:grouping val="clustered"/>
        <c:varyColors val="0"/>
        <c:ser>
          <c:idx val="0"/>
          <c:order val="0"/>
          <c:tx>
            <c:strRef>
              <c:f>Sheet1!$B$1</c:f>
              <c:strCache>
                <c:ptCount val="1"/>
              </c:strCache>
            </c:strRef>
          </c:tx>
          <c:invertIfNegative val="0"/>
          <c:cat>
            <c:strRef>
              <c:f>Sheet1!$A$2:$A$5</c:f>
              <c:strCache>
                <c:ptCount val="4"/>
                <c:pt idx="0">
                  <c:v>Hausse             </c:v>
                </c:pt>
                <c:pt idx="1">
                  <c:v>Stabilité</c:v>
                </c:pt>
                <c:pt idx="2">
                  <c:v>Baisse</c:v>
                </c:pt>
                <c:pt idx="3">
                  <c:v>Ne se prononce pas</c:v>
                </c:pt>
              </c:strCache>
            </c:strRef>
          </c:cat>
          <c:val>
            <c:numRef>
              <c:f>Sheet1!$B$2:$B$5</c:f>
              <c:numCache>
                <c:formatCode>0%</c:formatCode>
                <c:ptCount val="4"/>
                <c:pt idx="0">
                  <c:v>0.19424468199978406</c:v>
                </c:pt>
                <c:pt idx="1">
                  <c:v>0.36465824425008098</c:v>
                </c:pt>
                <c:pt idx="2">
                  <c:v>0.21178058524997304</c:v>
                </c:pt>
                <c:pt idx="3">
                  <c:v>0.22931648850016198</c:v>
                </c:pt>
              </c:numCache>
            </c:numRef>
          </c:val>
        </c:ser>
        <c:dLbls>
          <c:showLegendKey val="0"/>
          <c:showVal val="1"/>
          <c:showCatName val="0"/>
          <c:showSerName val="0"/>
          <c:showPercent val="0"/>
          <c:showBubbleSize val="0"/>
        </c:dLbls>
        <c:gapWidth val="150"/>
        <c:overlap val="-25"/>
        <c:axId val="110364544"/>
        <c:axId val="110366080"/>
      </c:barChart>
      <c:catAx>
        <c:axId val="110364544"/>
        <c:scaling>
          <c:orientation val="minMax"/>
        </c:scaling>
        <c:delete val="0"/>
        <c:axPos val="b"/>
        <c:numFmt formatCode="General" sourceLinked="1"/>
        <c:majorTickMark val="none"/>
        <c:minorTickMark val="none"/>
        <c:tickLblPos val="nextTo"/>
        <c:txPr>
          <a:bodyPr rot="0" vert="horz"/>
          <a:lstStyle/>
          <a:p>
            <a:pPr>
              <a:defRPr/>
            </a:pPr>
            <a:endParaRPr lang="fr-FR"/>
          </a:p>
        </c:txPr>
        <c:crossAx val="110366080"/>
        <c:crosses val="autoZero"/>
        <c:auto val="1"/>
        <c:lblAlgn val="ctr"/>
        <c:lblOffset val="100"/>
        <c:tickLblSkip val="1"/>
        <c:tickMarkSkip val="1"/>
        <c:noMultiLvlLbl val="0"/>
      </c:catAx>
      <c:valAx>
        <c:axId val="110366080"/>
        <c:scaling>
          <c:orientation val="minMax"/>
          <c:max val="0.5"/>
        </c:scaling>
        <c:delete val="1"/>
        <c:axPos val="l"/>
        <c:numFmt formatCode="0%" sourceLinked="1"/>
        <c:majorTickMark val="none"/>
        <c:minorTickMark val="none"/>
        <c:tickLblPos val="nextTo"/>
        <c:crossAx val="110364544"/>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52858371826695"/>
          <c:y val="2.7149237924206818E-3"/>
          <c:w val="0.8692512287738563"/>
          <c:h val="0.31832389372381081"/>
        </c:manualLayout>
      </c:layout>
      <c:barChart>
        <c:barDir val="bar"/>
        <c:grouping val="percentStacked"/>
        <c:varyColors val="0"/>
        <c:ser>
          <c:idx val="0"/>
          <c:order val="0"/>
          <c:tx>
            <c:strRef>
              <c:f>Feuil1!$A$2</c:f>
              <c:strCache>
                <c:ptCount val="1"/>
                <c:pt idx="0">
                  <c:v>Augmenter</c:v>
                </c:pt>
              </c:strCache>
            </c:strRef>
          </c:tx>
          <c:spPr>
            <a:solidFill>
              <a:schemeClr val="accent1">
                <a:lumMod val="60000"/>
                <a:lumOff val="40000"/>
              </a:schemeClr>
            </a:solidFill>
          </c:spPr>
          <c:invertIfNegative val="0"/>
          <c:cat>
            <c:strRef>
              <c:f>Feuil1!$B$1:$D$1</c:f>
              <c:strCache>
                <c:ptCount val="3"/>
                <c:pt idx="0">
                  <c:v>COM</c:v>
                </c:pt>
                <c:pt idx="1">
                  <c:v>TRP</c:v>
                </c:pt>
                <c:pt idx="2">
                  <c:v>Total</c:v>
                </c:pt>
              </c:strCache>
            </c:strRef>
          </c:cat>
          <c:val>
            <c:numRef>
              <c:f>Feuil1!$B$2:$D$2</c:f>
              <c:numCache>
                <c:formatCode>0%</c:formatCode>
                <c:ptCount val="3"/>
                <c:pt idx="0">
                  <c:v>0.23076923076923081</c:v>
                </c:pt>
                <c:pt idx="1">
                  <c:v>8.520678112514847E-2</c:v>
                </c:pt>
                <c:pt idx="2">
                  <c:v>0.16878689382712558</c:v>
                </c:pt>
              </c:numCache>
            </c:numRef>
          </c:val>
        </c:ser>
        <c:ser>
          <c:idx val="1"/>
          <c:order val="1"/>
          <c:tx>
            <c:strRef>
              <c:f>Feuil1!$A$3</c:f>
              <c:strCache>
                <c:ptCount val="1"/>
                <c:pt idx="0">
                  <c:v>Rester stables</c:v>
                </c:pt>
              </c:strCache>
            </c:strRef>
          </c:tx>
          <c:spPr>
            <a:solidFill>
              <a:schemeClr val="accent2">
                <a:lumMod val="60000"/>
                <a:lumOff val="40000"/>
              </a:schemeClr>
            </a:solidFill>
          </c:spPr>
          <c:invertIfNegative val="0"/>
          <c:cat>
            <c:strRef>
              <c:f>Feuil1!$B$1:$D$1</c:f>
              <c:strCache>
                <c:ptCount val="3"/>
                <c:pt idx="0">
                  <c:v>COM</c:v>
                </c:pt>
                <c:pt idx="1">
                  <c:v>TRP</c:v>
                </c:pt>
                <c:pt idx="2">
                  <c:v>Total</c:v>
                </c:pt>
              </c:strCache>
            </c:strRef>
          </c:cat>
          <c:val>
            <c:numRef>
              <c:f>Feuil1!$B$3:$D$3</c:f>
              <c:numCache>
                <c:formatCode>0%</c:formatCode>
                <c:ptCount val="3"/>
                <c:pt idx="0">
                  <c:v>0.46153846153846145</c:v>
                </c:pt>
                <c:pt idx="1">
                  <c:v>0.70301263362487876</c:v>
                </c:pt>
                <c:pt idx="2">
                  <c:v>0.56436122615717088</c:v>
                </c:pt>
              </c:numCache>
            </c:numRef>
          </c:val>
        </c:ser>
        <c:ser>
          <c:idx val="2"/>
          <c:order val="2"/>
          <c:tx>
            <c:strRef>
              <c:f>Feuil1!$A$4</c:f>
              <c:strCache>
                <c:ptCount val="1"/>
                <c:pt idx="0">
                  <c:v>Diminuer</c:v>
                </c:pt>
              </c:strCache>
            </c:strRef>
          </c:tx>
          <c:spPr>
            <a:solidFill>
              <a:schemeClr val="accent3">
                <a:lumMod val="60000"/>
                <a:lumOff val="40000"/>
              </a:schemeClr>
            </a:solidFill>
          </c:spPr>
          <c:invertIfNegative val="0"/>
          <c:cat>
            <c:strRef>
              <c:f>Feuil1!$B$1:$D$1</c:f>
              <c:strCache>
                <c:ptCount val="3"/>
                <c:pt idx="0">
                  <c:v>COM</c:v>
                </c:pt>
                <c:pt idx="1">
                  <c:v>TRP</c:v>
                </c:pt>
                <c:pt idx="2">
                  <c:v>Total</c:v>
                </c:pt>
              </c:strCache>
            </c:strRef>
          </c:cat>
          <c:val>
            <c:numRef>
              <c:f>Feuil1!$B$4:$D$4</c:f>
              <c:numCache>
                <c:formatCode>0%</c:formatCode>
                <c:ptCount val="3"/>
                <c:pt idx="0">
                  <c:v>0.10256410256410259</c:v>
                </c:pt>
                <c:pt idx="1">
                  <c:v>0.12342619587517546</c:v>
                </c:pt>
                <c:pt idx="2">
                  <c:v>0.11144744644905573</c:v>
                </c:pt>
              </c:numCache>
            </c:numRef>
          </c:val>
        </c:ser>
        <c:ser>
          <c:idx val="3"/>
          <c:order val="3"/>
          <c:tx>
            <c:strRef>
              <c:f>Feuil1!$A$5</c:f>
              <c:strCache>
                <c:ptCount val="1"/>
                <c:pt idx="0">
                  <c:v>Ne sait pas</c:v>
                </c:pt>
              </c:strCache>
            </c:strRef>
          </c:tx>
          <c:spPr>
            <a:solidFill>
              <a:schemeClr val="accent4">
                <a:lumMod val="60000"/>
                <a:lumOff val="40000"/>
              </a:schemeClr>
            </a:solidFill>
          </c:spPr>
          <c:invertIfNegative val="0"/>
          <c:cat>
            <c:strRef>
              <c:f>Feuil1!$B$1:$D$1</c:f>
              <c:strCache>
                <c:ptCount val="3"/>
                <c:pt idx="0">
                  <c:v>COM</c:v>
                </c:pt>
                <c:pt idx="1">
                  <c:v>TRP</c:v>
                </c:pt>
                <c:pt idx="2">
                  <c:v>Total</c:v>
                </c:pt>
              </c:strCache>
            </c:strRef>
          </c:cat>
          <c:val>
            <c:numRef>
              <c:f>Feuil1!$B$5:$D$5</c:f>
              <c:numCache>
                <c:formatCode>0%</c:formatCode>
                <c:ptCount val="3"/>
                <c:pt idx="0">
                  <c:v>0.20512820512820518</c:v>
                </c:pt>
                <c:pt idx="1">
                  <c:v>8.8354389374797532E-2</c:v>
                </c:pt>
                <c:pt idx="2">
                  <c:v>0.15540443356664793</c:v>
                </c:pt>
              </c:numCache>
            </c:numRef>
          </c:val>
        </c:ser>
        <c:dLbls>
          <c:dLblPos val="ctr"/>
          <c:showLegendKey val="0"/>
          <c:showVal val="1"/>
          <c:showCatName val="0"/>
          <c:showSerName val="0"/>
          <c:showPercent val="0"/>
          <c:showBubbleSize val="0"/>
        </c:dLbls>
        <c:gapWidth val="40"/>
        <c:overlap val="100"/>
        <c:axId val="134139264"/>
        <c:axId val="134165632"/>
      </c:barChart>
      <c:catAx>
        <c:axId val="134139264"/>
        <c:scaling>
          <c:orientation val="minMax"/>
        </c:scaling>
        <c:delete val="0"/>
        <c:axPos val="l"/>
        <c:majorTickMark val="out"/>
        <c:minorTickMark val="none"/>
        <c:tickLblPos val="nextTo"/>
        <c:crossAx val="134165632"/>
        <c:crosses val="autoZero"/>
        <c:auto val="1"/>
        <c:lblAlgn val="ctr"/>
        <c:lblOffset val="100"/>
        <c:noMultiLvlLbl val="0"/>
      </c:catAx>
      <c:valAx>
        <c:axId val="134165632"/>
        <c:scaling>
          <c:orientation val="minMax"/>
        </c:scaling>
        <c:delete val="1"/>
        <c:axPos val="b"/>
        <c:numFmt formatCode="0%" sourceLinked="1"/>
        <c:majorTickMark val="out"/>
        <c:minorTickMark val="none"/>
        <c:tickLblPos val="nextTo"/>
        <c:crossAx val="134139264"/>
        <c:crosses val="autoZero"/>
        <c:crossBetween val="between"/>
      </c:valAx>
    </c:plotArea>
    <c:legend>
      <c:legendPos val="b"/>
      <c:layout>
        <c:manualLayout>
          <c:xMode val="edge"/>
          <c:yMode val="edge"/>
          <c:x val="0.11553137277464534"/>
          <c:y val="0.65630391350334938"/>
          <c:w val="0.83574288078290837"/>
          <c:h val="8.9964743213068521E-2"/>
        </c:manualLayout>
      </c:layout>
      <c:overlay val="0"/>
      <c:spPr>
        <a:ln>
          <a:solidFill>
            <a:schemeClr val="bg1">
              <a:lumMod val="50000"/>
            </a:schemeClr>
          </a:solidFill>
        </a:ln>
      </c:spPr>
    </c:legend>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manualLayout>
          <c:layoutTarget val="inner"/>
          <c:xMode val="edge"/>
          <c:yMode val="edge"/>
          <c:x val="3.5284683239775461E-2"/>
          <c:y val="7.1126258471422399E-2"/>
          <c:w val="0.92943063352044908"/>
          <c:h val="0.60791162298742507"/>
        </c:manualLayout>
      </c:layout>
      <c:barChart>
        <c:barDir val="col"/>
        <c:grouping val="clustered"/>
        <c:varyColors val="0"/>
        <c:ser>
          <c:idx val="0"/>
          <c:order val="0"/>
          <c:tx>
            <c:strRef>
              <c:f>Sheet1!$B$1</c:f>
              <c:strCache>
                <c:ptCount val="1"/>
              </c:strCache>
            </c:strRef>
          </c:tx>
          <c:spPr>
            <a:solidFill>
              <a:schemeClr val="accent1">
                <a:lumMod val="75000"/>
              </a:schemeClr>
            </a:solidFill>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spPr/>
              <c:txPr>
                <a:bodyPr/>
                <a:lstStyle/>
                <a:p>
                  <a:pPr>
                    <a:defRPr b="0"/>
                  </a:pPr>
                  <a:endParaRPr lang="fr-FR"/>
                </a:p>
              </c:txPr>
              <c:dLblPos val="outEnd"/>
              <c:showLegendKey val="0"/>
              <c:showVal val="1"/>
              <c:showCatName val="0"/>
              <c:showSerName val="0"/>
              <c:showPercent val="0"/>
              <c:showBubbleSize val="0"/>
            </c:dLbl>
            <c:dLbl>
              <c:idx val="1"/>
              <c:spPr/>
              <c:txPr>
                <a:bodyPr/>
                <a:lstStyle/>
                <a:p>
                  <a:pPr>
                    <a:defRPr b="0"/>
                  </a:pPr>
                  <a:endParaRPr lang="fr-FR"/>
                </a:p>
              </c:txPr>
              <c:dLblPos val="outEnd"/>
              <c:showLegendKey val="0"/>
              <c:showVal val="1"/>
              <c:showCatName val="0"/>
              <c:showSerName val="0"/>
              <c:showPercent val="0"/>
              <c:showBubbleSize val="0"/>
            </c:dLbl>
            <c:txPr>
              <a:bodyPr/>
              <a:lstStyle/>
              <a:p>
                <a:pPr>
                  <a:defRPr b="1"/>
                </a:pPr>
                <a:endParaRPr lang="fr-FR"/>
              </a:p>
            </c:txPr>
            <c:dLblPos val="outEnd"/>
            <c:showLegendKey val="0"/>
            <c:showVal val="1"/>
            <c:showCatName val="0"/>
            <c:showSerName val="0"/>
            <c:showPercent val="0"/>
            <c:showBubbleSize val="0"/>
            <c:showLeaderLines val="0"/>
          </c:dLbls>
          <c:cat>
            <c:strRef>
              <c:f>Sheet1!$A$2:$A$3</c:f>
              <c:strCache>
                <c:ptCount val="2"/>
                <c:pt idx="0">
                  <c:v>Etablissements de 50 à 99 salariés</c:v>
                </c:pt>
                <c:pt idx="1">
                  <c:v>Etablissements de 100 salariés et plus</c:v>
                </c:pt>
              </c:strCache>
            </c:strRef>
          </c:cat>
          <c:val>
            <c:numRef>
              <c:f>Sheet1!$B$2:$B$3</c:f>
              <c:numCache>
                <c:formatCode>0%</c:formatCode>
                <c:ptCount val="2"/>
                <c:pt idx="0">
                  <c:v>0.67</c:v>
                </c:pt>
                <c:pt idx="1">
                  <c:v>0.65</c:v>
                </c:pt>
              </c:numCache>
            </c:numRef>
          </c:val>
        </c:ser>
        <c:dLbls>
          <c:showLegendKey val="0"/>
          <c:showVal val="1"/>
          <c:showCatName val="0"/>
          <c:showSerName val="0"/>
          <c:showPercent val="0"/>
          <c:showBubbleSize val="0"/>
        </c:dLbls>
        <c:gapWidth val="150"/>
        <c:overlap val="-25"/>
        <c:axId val="110498176"/>
        <c:axId val="110499712"/>
      </c:barChart>
      <c:catAx>
        <c:axId val="110498176"/>
        <c:scaling>
          <c:orientation val="minMax"/>
        </c:scaling>
        <c:delete val="0"/>
        <c:axPos val="b"/>
        <c:numFmt formatCode="General" sourceLinked="1"/>
        <c:majorTickMark val="out"/>
        <c:minorTickMark val="none"/>
        <c:tickLblPos val="nextTo"/>
        <c:txPr>
          <a:bodyPr rot="0" vert="horz"/>
          <a:lstStyle/>
          <a:p>
            <a:pPr>
              <a:defRPr/>
            </a:pPr>
            <a:endParaRPr lang="fr-FR"/>
          </a:p>
        </c:txPr>
        <c:crossAx val="110499712"/>
        <c:crosses val="autoZero"/>
        <c:auto val="1"/>
        <c:lblAlgn val="ctr"/>
        <c:lblOffset val="100"/>
        <c:tickLblSkip val="1"/>
        <c:tickMarkSkip val="1"/>
        <c:noMultiLvlLbl val="0"/>
      </c:catAx>
      <c:valAx>
        <c:axId val="110499712"/>
        <c:scaling>
          <c:orientation val="minMax"/>
          <c:max val="0.8"/>
          <c:min val="0"/>
        </c:scaling>
        <c:delete val="1"/>
        <c:axPos val="l"/>
        <c:numFmt formatCode="0%" sourceLinked="1"/>
        <c:majorTickMark val="out"/>
        <c:minorTickMark val="none"/>
        <c:tickLblPos val="nextTo"/>
        <c:crossAx val="11049817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manualLayout>
          <c:layoutTarget val="inner"/>
          <c:xMode val="edge"/>
          <c:yMode val="edge"/>
          <c:x val="3.528201874770806E-2"/>
          <c:y val="0"/>
          <c:w val="0.92943596250458393"/>
          <c:h val="0.90273020326394526"/>
        </c:manualLayout>
      </c:layout>
      <c:barChart>
        <c:barDir val="col"/>
        <c:grouping val="clustered"/>
        <c:varyColors val="0"/>
        <c:ser>
          <c:idx val="0"/>
          <c:order val="0"/>
          <c:tx>
            <c:strRef>
              <c:f>Sheet1!$B$1</c:f>
              <c:strCache>
                <c:ptCount val="1"/>
              </c:strCache>
            </c:strRef>
          </c:tx>
          <c:spPr>
            <a:solidFill>
              <a:schemeClr val="accent1">
                <a:lumMod val="75000"/>
              </a:schemeClr>
            </a:solidFill>
          </c:spPr>
          <c:invertIfNegative val="0"/>
          <c:dPt>
            <c:idx val="0"/>
            <c:invertIfNegative val="0"/>
            <c:bubble3D val="0"/>
          </c:dPt>
          <c:dPt>
            <c:idx val="1"/>
            <c:invertIfNegative val="0"/>
            <c:bubble3D val="0"/>
          </c:dPt>
          <c:dPt>
            <c:idx val="2"/>
            <c:invertIfNegative val="0"/>
            <c:bubble3D val="0"/>
          </c:dPt>
          <c:dPt>
            <c:idx val="3"/>
            <c:invertIfNegative val="0"/>
            <c:bubble3D val="0"/>
          </c:dPt>
          <c:dLbls>
            <c:txPr>
              <a:bodyPr/>
              <a:lstStyle/>
              <a:p>
                <a:pPr>
                  <a:defRPr b="0"/>
                </a:pPr>
                <a:endParaRPr lang="fr-FR"/>
              </a:p>
            </c:txPr>
            <c:dLblPos val="outEnd"/>
            <c:showLegendKey val="0"/>
            <c:showVal val="1"/>
            <c:showCatName val="0"/>
            <c:showSerName val="0"/>
            <c:showPercent val="0"/>
            <c:showBubbleSize val="0"/>
            <c:showLeaderLines val="0"/>
          </c:dLbls>
          <c:cat>
            <c:strRef>
              <c:f>Sheet1!$A$2:$A$3</c:f>
              <c:strCache>
                <c:ptCount val="2"/>
                <c:pt idx="0">
                  <c:v>Etablissements de 50 à 99 salariés</c:v>
                </c:pt>
                <c:pt idx="1">
                  <c:v>Etablissements de 100 salariés et plus</c:v>
                </c:pt>
              </c:strCache>
            </c:strRef>
          </c:cat>
          <c:val>
            <c:numRef>
              <c:f>Sheet1!$B$2:$B$3</c:f>
              <c:numCache>
                <c:formatCode>0%</c:formatCode>
                <c:ptCount val="2"/>
                <c:pt idx="0">
                  <c:v>0.53</c:v>
                </c:pt>
                <c:pt idx="1">
                  <c:v>0.5</c:v>
                </c:pt>
              </c:numCache>
            </c:numRef>
          </c:val>
        </c:ser>
        <c:dLbls>
          <c:showLegendKey val="0"/>
          <c:showVal val="1"/>
          <c:showCatName val="0"/>
          <c:showSerName val="0"/>
          <c:showPercent val="0"/>
          <c:showBubbleSize val="0"/>
        </c:dLbls>
        <c:gapWidth val="150"/>
        <c:overlap val="-25"/>
        <c:axId val="112595328"/>
        <c:axId val="112598016"/>
      </c:barChart>
      <c:catAx>
        <c:axId val="112595328"/>
        <c:scaling>
          <c:orientation val="minMax"/>
        </c:scaling>
        <c:delete val="0"/>
        <c:axPos val="b"/>
        <c:numFmt formatCode="General" sourceLinked="1"/>
        <c:majorTickMark val="none"/>
        <c:minorTickMark val="none"/>
        <c:tickLblPos val="nextTo"/>
        <c:txPr>
          <a:bodyPr rot="0" vert="horz"/>
          <a:lstStyle/>
          <a:p>
            <a:pPr>
              <a:defRPr/>
            </a:pPr>
            <a:endParaRPr lang="fr-FR"/>
          </a:p>
        </c:txPr>
        <c:crossAx val="112598016"/>
        <c:crosses val="autoZero"/>
        <c:auto val="1"/>
        <c:lblAlgn val="ctr"/>
        <c:lblOffset val="100"/>
        <c:tickLblSkip val="1"/>
        <c:tickMarkSkip val="1"/>
        <c:noMultiLvlLbl val="0"/>
      </c:catAx>
      <c:valAx>
        <c:axId val="112598016"/>
        <c:scaling>
          <c:orientation val="minMax"/>
          <c:max val="0.8"/>
          <c:min val="0"/>
        </c:scaling>
        <c:delete val="1"/>
        <c:axPos val="l"/>
        <c:numFmt formatCode="0%" sourceLinked="1"/>
        <c:majorTickMark val="out"/>
        <c:minorTickMark val="none"/>
        <c:tickLblPos val="nextTo"/>
        <c:crossAx val="112595328"/>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manualLayout>
          <c:layoutTarget val="inner"/>
          <c:xMode val="edge"/>
          <c:yMode val="edge"/>
          <c:x val="3.5282009837038532E-2"/>
          <c:y val="9.873570888384714E-2"/>
          <c:w val="0.92943598032592289"/>
          <c:h val="0.75021605350178688"/>
        </c:manualLayout>
      </c:layout>
      <c:barChart>
        <c:barDir val="col"/>
        <c:grouping val="clustered"/>
        <c:varyColors val="0"/>
        <c:ser>
          <c:idx val="0"/>
          <c:order val="0"/>
          <c:tx>
            <c:strRef>
              <c:f>Sheet1!$B$1</c:f>
              <c:strCache>
                <c:ptCount val="1"/>
              </c:strCache>
            </c:strRef>
          </c:tx>
          <c:invertIfNegative val="0"/>
          <c:dPt>
            <c:idx val="0"/>
            <c:invertIfNegative val="0"/>
            <c:bubble3D val="0"/>
          </c:dPt>
          <c:dPt>
            <c:idx val="1"/>
            <c:invertIfNegative val="0"/>
            <c:bubble3D val="0"/>
          </c:dPt>
          <c:dPt>
            <c:idx val="2"/>
            <c:invertIfNegative val="0"/>
            <c:bubble3D val="0"/>
          </c:dPt>
          <c:dPt>
            <c:idx val="3"/>
            <c:invertIfNegative val="0"/>
            <c:bubble3D val="0"/>
          </c:dPt>
          <c:cat>
            <c:strRef>
              <c:f>Sheet1!$A$2:$A$6</c:f>
              <c:strCache>
                <c:ptCount val="5"/>
                <c:pt idx="0">
                  <c:v>50 à 99 salariés</c:v>
                </c:pt>
                <c:pt idx="1">
                  <c:v>100 à 199 salariés</c:v>
                </c:pt>
                <c:pt idx="2">
                  <c:v>200 à 499 salariés</c:v>
                </c:pt>
                <c:pt idx="3">
                  <c:v>500 salariés et plus</c:v>
                </c:pt>
                <c:pt idx="4">
                  <c:v>Total</c:v>
                </c:pt>
              </c:strCache>
            </c:strRef>
          </c:cat>
          <c:val>
            <c:numRef>
              <c:f>Sheet1!$B$2:$B$6</c:f>
              <c:numCache>
                <c:formatCode>0%</c:formatCode>
                <c:ptCount val="5"/>
                <c:pt idx="0">
                  <c:v>0.36</c:v>
                </c:pt>
                <c:pt idx="1">
                  <c:v>0.52</c:v>
                </c:pt>
                <c:pt idx="2">
                  <c:v>0.65</c:v>
                </c:pt>
                <c:pt idx="3">
                  <c:v>1</c:v>
                </c:pt>
                <c:pt idx="4">
                  <c:v>0.44</c:v>
                </c:pt>
              </c:numCache>
            </c:numRef>
          </c:val>
        </c:ser>
        <c:dLbls>
          <c:showLegendKey val="0"/>
          <c:showVal val="1"/>
          <c:showCatName val="0"/>
          <c:showSerName val="0"/>
          <c:showPercent val="0"/>
          <c:showBubbleSize val="0"/>
        </c:dLbls>
        <c:gapWidth val="150"/>
        <c:overlap val="-25"/>
        <c:axId val="112614784"/>
        <c:axId val="112620672"/>
      </c:barChart>
      <c:catAx>
        <c:axId val="112614784"/>
        <c:scaling>
          <c:orientation val="minMax"/>
        </c:scaling>
        <c:delete val="0"/>
        <c:axPos val="b"/>
        <c:numFmt formatCode="General" sourceLinked="1"/>
        <c:majorTickMark val="none"/>
        <c:minorTickMark val="none"/>
        <c:tickLblPos val="nextTo"/>
        <c:txPr>
          <a:bodyPr rot="0" vert="horz"/>
          <a:lstStyle/>
          <a:p>
            <a:pPr>
              <a:defRPr/>
            </a:pPr>
            <a:endParaRPr lang="fr-FR"/>
          </a:p>
        </c:txPr>
        <c:crossAx val="112620672"/>
        <c:crosses val="autoZero"/>
        <c:auto val="1"/>
        <c:lblAlgn val="ctr"/>
        <c:lblOffset val="100"/>
        <c:tickLblSkip val="1"/>
        <c:tickMarkSkip val="1"/>
        <c:noMultiLvlLbl val="0"/>
      </c:catAx>
      <c:valAx>
        <c:axId val="112620672"/>
        <c:scaling>
          <c:orientation val="minMax"/>
          <c:max val="1"/>
        </c:scaling>
        <c:delete val="1"/>
        <c:axPos val="l"/>
        <c:numFmt formatCode="0%" sourceLinked="1"/>
        <c:majorTickMark val="out"/>
        <c:minorTickMark val="none"/>
        <c:tickLblPos val="nextTo"/>
        <c:crossAx val="112614784"/>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0.03004</cdr:x>
      <cdr:y>0.81301</cdr:y>
    </cdr:from>
    <cdr:to>
      <cdr:x>0.65834</cdr:x>
      <cdr:y>0.81914</cdr:y>
    </cdr:to>
    <cdr:cxnSp macro="">
      <cdr:nvCxnSpPr>
        <cdr:cNvPr id="3" name="Connecteur droit 2"/>
        <cdr:cNvCxnSpPr/>
      </cdr:nvCxnSpPr>
      <cdr:spPr>
        <a:xfrm xmlns:a="http://schemas.openxmlformats.org/drawingml/2006/main" flipV="1">
          <a:off x="207034" y="2286000"/>
          <a:ext cx="4330461" cy="172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0.8999</cdr:x>
      <cdr:y>0.81301</cdr:y>
    </cdr:from>
    <cdr:to>
      <cdr:x>0.98376</cdr:x>
      <cdr:y>0.81608</cdr:y>
    </cdr:to>
    <cdr:cxnSp macro="">
      <cdr:nvCxnSpPr>
        <cdr:cNvPr id="5" name="Connecteur droit 4"/>
        <cdr:cNvCxnSpPr/>
      </cdr:nvCxnSpPr>
      <cdr:spPr>
        <a:xfrm xmlns:a="http://schemas.openxmlformats.org/drawingml/2006/main" flipV="1">
          <a:off x="6202393" y="2286000"/>
          <a:ext cx="577970" cy="86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0.03004</cdr:x>
      <cdr:y>0.81301</cdr:y>
    </cdr:from>
    <cdr:to>
      <cdr:x>0.65834</cdr:x>
      <cdr:y>0.81914</cdr:y>
    </cdr:to>
    <cdr:cxnSp macro="">
      <cdr:nvCxnSpPr>
        <cdr:cNvPr id="3" name="Connecteur droit 2"/>
        <cdr:cNvCxnSpPr/>
      </cdr:nvCxnSpPr>
      <cdr:spPr>
        <a:xfrm xmlns:a="http://schemas.openxmlformats.org/drawingml/2006/main" flipV="1">
          <a:off x="207034" y="2286000"/>
          <a:ext cx="4330461" cy="172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0.8999</cdr:x>
      <cdr:y>0.81301</cdr:y>
    </cdr:from>
    <cdr:to>
      <cdr:x>0.98376</cdr:x>
      <cdr:y>0.81608</cdr:y>
    </cdr:to>
    <cdr:cxnSp macro="">
      <cdr:nvCxnSpPr>
        <cdr:cNvPr id="5" name="Connecteur droit 4"/>
        <cdr:cNvCxnSpPr/>
      </cdr:nvCxnSpPr>
      <cdr:spPr>
        <a:xfrm xmlns:a="http://schemas.openxmlformats.org/drawingml/2006/main" flipV="1">
          <a:off x="6202393" y="2286000"/>
          <a:ext cx="577970" cy="86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5B7DB-0E7B-40E1-B9C8-63CE5C61D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12260</Words>
  <Characters>67434</Characters>
  <Application>Microsoft Office Word</Application>
  <DocSecurity>0</DocSecurity>
  <Lines>561</Lines>
  <Paragraphs>159</Paragraphs>
  <ScaleCrop>false</ScaleCrop>
  <HeadingPairs>
    <vt:vector size="2" baseType="variant">
      <vt:variant>
        <vt:lpstr>Titre</vt:lpstr>
      </vt:variant>
      <vt:variant>
        <vt:i4>1</vt:i4>
      </vt:variant>
    </vt:vector>
  </HeadingPairs>
  <TitlesOfParts>
    <vt:vector size="1" baseType="lpstr">
      <vt:lpstr>17ème Enquête sur les besoins</vt:lpstr>
    </vt:vector>
  </TitlesOfParts>
  <Company>AFT-IFTIM</Company>
  <LinksUpToDate>false</LinksUpToDate>
  <CharactersWithSpaces>79535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17ème Enquête sur les besoins</dc:title>
  <dc:creator>Ph. Pauly</dc:creator>
  <cp:lastModifiedBy>AFT-IFTIM</cp:lastModifiedBy>
  <cp:revision>2</cp:revision>
  <cp:lastPrinted>2015-03-17T17:18:00Z</cp:lastPrinted>
  <dcterms:created xsi:type="dcterms:W3CDTF">2015-04-09T13:22:00Z</dcterms:created>
  <dcterms:modified xsi:type="dcterms:W3CDTF">2015-04-09T13:22:00Z</dcterms:modified>
</cp:coreProperties>
</file>